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TMO</w:t>
      </w:r>
      <w:r>
        <w:rPr>
          <w:rFonts w:ascii="Calibri" w:hAnsi="Calibri"/>
          <w:b/>
          <w:color w:val="1A2010"/>
          <w:sz w:val="40"/>
        </w:rPr>
        <w:t xml:space="preserve">  Thermo Fisher Scientific Inc.</w:t>
      </w:r>
    </w:p>
    <w:p>
      <w:pPr>
        <w:spacing w:after="120"/>
      </w:pPr>
      <w:r>
        <w:rPr>
          <w:rFonts w:ascii="Calibri" w:hAnsi="Calibri"/>
          <w:b/>
          <w:color w:val="6E8450"/>
          <w:sz w:val="18"/>
        </w:rPr>
        <w:t>GROWTH SLEEVE · 2026-09-10 · Inspire: -92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Life Sciences Tools &amp; Services · NYSE · United States</w:t>
      </w:r>
    </w:p>
    <w:p>
      <w:pPr>
        <w:spacing w:after="80"/>
      </w:pPr>
      <w:r>
        <w:rPr>
          <w:rFonts w:ascii="Calibri" w:hAnsi="Calibri"/>
          <w:b w:val="0"/>
          <w:color w:val="3A4A28"/>
          <w:sz w:val="20"/>
        </w:rPr>
        <w:t>Thermo Fisher Scientific is the world leader in serving science, providing analytical instruments, equipment, reagents, consumables, software, and services for research, analysis, discovery, and diagnostics. The company operates through four segments: Life Sciences Solutions, Analytical Instruments, Specialty Diagnostics, and Laboratory Products &amp; Biopharma Services, serving pharmaceutical, biotech, academic, government, and clinical customers globally. Under CEO Marc Casper since 2009, TMO has grown through strategic acquisitions (Life Technologies, Patheon, PPD, Olink) into the world's largest life sciences platform. Q2 2026 revenue grew 10% to $11.99B with raised full-year guidance of $47.4-48.1B and adjusted EPS of $24.93-$25.33.</w:t>
      </w:r>
    </w:p>
    <w:p>
      <w:r>
        <w:rPr>
          <w:rFonts w:ascii="Calibri" w:hAnsi="Calibri"/>
          <w:b/>
          <w:color w:val="6E8450"/>
          <w:sz w:val="18"/>
        </w:rPr>
        <w:t>130,000 Employees · https://www.thermofisher.com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Thermo Fisher has executed a transformative acquisition strategy over the past decade — PPD ($17.4B, 2021), Olink ($3.1B, 2024), and numerous bolt-ons that expanded the company from analytical instruments into a full-stack life sciences platform covering drug discovery, clinical trials, diagnostics, and laboratory workflows [1]. In early 2026, the company announced collaborations with NVIDIA and TetraScience for AI-powered lab automation, plus a strategic alliance with OpenAI to accelerate scientific discovery [2]. AI Deployment (1/2): AI lab partnerships with NVIDIA, TetraScience, and OpenAI represent genuine AI product development, and next-generation mass spectrometers with AI-driven data analysis capabilities were showcased at the American Society for Mass Spectrometry conference, but these are early-stage without quantified revenue contribution [2]. Market Share (2/2): Thermo Fisher is the undisputed global leader in life sciences tools with ~$200B market cap and $46.3B TTM revenue — #1 or #2 in virtually every category from mass spectrometry to cell culture to clinical trial services [1][4]. Product Pipeline (1/2): Continuous instrument refresh cycle with next-generation mass spectrometers and chromatography platforms, plus expanding bioproduction and cell therapy manufacturing capabilities, though specific next-gen product launches with dates and revenue visibility were limited beyond the AI partnerships. R&amp;D Intensity (1/1): R&amp;D spending supports continuous innovation across thousands of products, at or above industry average for diversified life sciences companies where the services and distribution mix naturally dilutes the ratio versus pure-play instrument peers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Thermo Fisher's mission — 'to enable our customers to make the world healthier, cleaner and safer' — is specific, thoughtful, and differentiating. It connects the company's work to a larger purpose in human health and safety and has been consistently referenced by CEO Marc Casper across strategic decisions for over 17 years [2]. The mission genuinely shapes product portfolio decisions and M&amp;A strategy, including the expansion into clinical research services and pandemic response testing. Community Impact (1/2): TMO reached over 89,500 students through global STEM education programs, completed 120,000+ colleague volunteer hours, and granted over $2B in awards to small and diverse suppliers [3]. These are meaningful programs but follow a standard corporate philanthropy playbook rather than distinctive community transformation. Employee Retention (1/2): The PPI Business System — 'find a better way, every day' — serves as the cultural backbone across 130,000 employees, and Marc Casper's tenure as CEO since 2009 (17 years) demonstrates exceptional leadership stability [2]. The May 2026 leadership transition promoting Gianluca Pettiti to President/COO while Casper adds Chairman reflects orderly succession planning. However, some Glassdoor reviews describe a 'fear-based' and 'reactive' culture in parts of the organization, preventing a higher score. Insider Buying (0/2): Net insider selling in 2026 with no meaningful insider buying identified in the last 12 months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Q2 2026 delivered $11.99B revenue (up 10% YoY) with adjusted EPS of $6.03 (+13%), and the company raised full-year 2026 guidance to $24.93-$25.33 adjusted EPS on $47.4B-$48.1B revenue (6-8% reported growth, ~4% organic) [1]. D/E of 81% is slightly above the 70% target but manageable given $42.55B in debt against strong cash generation (0.95 score, 1x weight). ROE of 13.52% falls just short of the 15% target (0.90 at 2x weight), reflecting goodwill dilution from serial acquisitions. Revenue growth YoY of 10% in Q2 hits the target (1.0, 1x weight), while 5-year revenue CAGR of approximately 5% reflects post-COVID normalization drag (0.67 at 2x weight) [1]. Forward P/E of 23.56x is modestly above the 20x target following the stock's 26% 52-week rally (0.91, 1x weight). Profit margin of 15.04% falls below the 20% target due to lower-margin services businesses (0.75, 1x weight). The primary drag is Forward PEG of 2.61 (0.20 at 2x weight), reflecting the premium valuation relative to the moderate organic growth profile. Weighted sum 7.14/10 rounds to 7. Liquidity easily cleared at ~$1.1B daily trading volume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Thermo Fisher operates with a genuinely long-term orientation anchored by the mission to make the world 'healthier, cleaner and safer' — a purpose that has guided its transformation from an analytical instruments company into the world's largest life sciences platform through disciplined acquisitions over two decades. Marc Casper's 17-year tenure as CEO and the PPI continuous improvement culture create organizational stability. However, the company's growth has been heavily acquisition-driven rather than organically transformative, and the serial acquisition model — while strategically coherent — reflects more operational excellence than existential flexibility. Glassdoor cultural concerns about pressure-driven management suggest the infinite game is not fully lived at all organizational levels.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'Enable our customers to make the world healthier, cleaner and safer' is a genuine cause that connects the company's work to human wellbeing. It has been consistently referenced by CEO Marc Casper across 17 years of leadership and has visibly shaped strategic decisions — the acquisitions of PPD, Olink, and dozens of bolt-ons all serve this mission by expanding the company's ability to accelerate scientific discovery [2]. The COVID-19 pandemic response demonstrated the cause in action, as TMO rapidly scaled testing capacity and vaccine support. However, the cause has not yet been tested through a true leadership transition (Casper has led the entire transformation), and the heavily acquisitive strategy can blur the line between purpose-driven growth and financial engineering.</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PPI Business System creates a shared cultural framework across 130,000 employees — 'find a better way, every day' — and Marc Casper's 17-year tenure provides organizational stability [2]. The orderly CEO-to-Chairman transition and Pettiti's promotion to President/COO in May 2026 reflect deliberate succession planning. However, Glassdoor reviews describe inconsistent communication, 'fear-based' management in some divisions, and 'constant pressure' with multiple management layers creating confusion [2]. As a massive organization built through serial acquisitions, cultural integration is an ongoing challenge, and no specific retention or tenure data distinguishes Thermo Fisher from typical large-cap peers.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Thermo Fisher competes with Danaher, Agilent Technologies, and other life sciences companies and consistently frames competition in terms of expanding capability rather than defeating rivals. Casper's strategic language emphasizes being the 'trusted partner' and building the most comprehensive platform rather than winning market share battles, and the company's willingness to partner with NVIDIA and OpenAI where it lacks AI expertise demonstrates competitive maturity rather than hubris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Thermo Fisher has evolved meaningfully from a diversified analytical instruments company into the world's most comprehensive life sciences platform through strategic acquisitions — Life Technologies ($13.6B, 2014), Patheon ($7.2B, 2017), PPD ($17.4B, 2021), and Olink ($3.1B, 2024) [1]. This evolution has been coherent and purpose-driven but incremental rather than transformative — the company expanded its addressable market through bolt-ons rather than fundamentally reinventing its business model. No single pivot represented an existential bet that cannibalized the core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$17.4B PPD acquisition in 2021 was a bold bet that expanded Thermo Fisher into clinical trial services during pandemic uncertainty, taking on significant debt to enter an adjacent market. Maintaining R&amp;D investment and M&amp;A activity through the post-COVID normalization — when revenue declined from pandemic peaks — demonstrated commitment to long-term capability over short-term optics [1]. The AI partnerships with NVIDIA and OpenAI signal willingness to invest in emerging capabilities before returns are certain. However, the broader pattern leans toward consistent, predictable earnings growth rather than bold bets that sacrifice near-term results.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Thermo Fisher at 23.56x forward earnings is a high-quality compounder accelerating out of the post-COVID normalization — Q2 2026 revenue of $11.99B (+10% YoY) with adjusted EPS of $6.03 (+13%) beat consensus and prompted raised full-year guidance to $47.4-48.1B revenue and $24.93-$25.33 adjusted EPS [1]. The 10% reported growth in Q2 marks the strongest quarter since the pandemic testing peak, driven by biotech end-market recovery and strengthening pharma R&amp;D spending. The company's unmatched scale — ~$200B market cap, $46.3B TTM revenue, and #1-#2 positions across instruments, reagents, diagnostics, and clinical trial services — creates deep competitive moats through customer switching costs, regulatory approvals, and global distribution infrastructure [4]. CEO Marc Casper's AI partnerships with NVIDIA, OpenAI, and TetraScience position Thermo Fisher at the intersection of AI and scientific discovery, potentially accelerating drug development timelines and increasing demand for the company's physical products and digital workflows [2].</w:t>
      </w:r>
    </w:p>
    <w:p>
      <w:pPr>
        <w:spacing w:after="120"/>
      </w:pPr>
      <w:r>
        <w:rPr>
          <w:rFonts w:ascii="Calibri" w:hAnsi="Calibri"/>
          <w:b w:val="0"/>
          <w:color w:val="3A4A28"/>
          <w:sz w:val="20"/>
        </w:rPr>
        <w:t>The bear case centers on organic growth visibility, valuation stretch, and balance sheet leverage. Full-year organic growth guidance of only ~4% suggests the 10% reported Q2 growth relies partly on M&amp;A contribution and favorable comparisons — any deceleration could trigger multiple compression from the current 23.56x forward P/E, which has risen from ~18x earlier in 2026 on the stock's 26% 52-week rally [1][4]. The $42.55B debt load from serial acquisitions limits financial flexibility and creates refinancing risk, while ROE of 13.52% — down from 18.5% five years ago — suggests diminishing returns as goodwill dilutes the equity base. The 5-year revenue CAGR of approximately 5% reflects the difficult 2023-2024 post-COVID period and it remains uncertain whether the current recovery represents a sustainable inflection or a temporary rebound. Profit margin of 15.04% trails pure-play peers due to lower-margin PPD and Patheon services. The Inspire Impact Score of -92 (MISALIGNED), driven by involvement in embryonic stem cells, IVF, and abortifacient products, may limit allocation for faith-based investors [3]. The Forward PEG of 2.61 suggests the stock is expensive relative to its growth rate, requiring continued earnings beats to sustain the multiple.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Biotech end-market recovery accelerating with Q2 2026 organic growth of 5% — the strongest since post-COVID normalization began — driven by improving biotech funding and new drug discovery pipelines requiring TMO's instruments, reagents, and clinical trial services [1]</w:t>
      </w:r>
    </w:p>
    <w:p>
      <w:pPr>
        <w:spacing w:before="40" w:after="40"/>
        <w:ind w:left="283"/>
      </w:pPr>
      <w:r>
        <w:rPr>
          <w:rFonts w:ascii="Calibri" w:hAnsi="Calibri"/>
          <w:b/>
          <w:color w:val="4A6B25"/>
          <w:sz w:val="20"/>
        </w:rPr>
        <w:t xml:space="preserve">2. </w:t>
      </w:r>
      <w:r>
        <w:rPr>
          <w:rFonts w:ascii="Calibri" w:hAnsi="Calibri"/>
          <w:b w:val="0"/>
          <w:color w:val="3A4A28"/>
          <w:sz w:val="20"/>
        </w:rPr>
        <w:t>AI-powered laboratory automation partnerships with NVIDIA, TetraScience, and OpenAI maturing into quantifiable revenue streams as biopharma customers adopt AI-native scientific workflows and next-generation AI-enhanced mass spectrometry platforms [2]</w:t>
      </w:r>
    </w:p>
    <w:p>
      <w:pPr>
        <w:spacing w:before="40" w:after="40"/>
        <w:ind w:left="283"/>
      </w:pPr>
      <w:r>
        <w:rPr>
          <w:rFonts w:ascii="Calibri" w:hAnsi="Calibri"/>
          <w:b/>
          <w:color w:val="4A6B25"/>
          <w:sz w:val="20"/>
        </w:rPr>
        <w:t xml:space="preserve">3. </w:t>
      </w:r>
      <w:r>
        <w:rPr>
          <w:rFonts w:ascii="Calibri" w:hAnsi="Calibri"/>
          <w:b w:val="0"/>
          <w:color w:val="3A4A28"/>
          <w:sz w:val="20"/>
        </w:rPr>
        <w:t>Raised FY2026 guidance to $47.4-48.1B revenue (6-8% growth) and adjusted EPS of $24.93-$25.33 (9-11% growth) demonstrates management confidence in sustained recovery trajectory and sets up potential for further guidance increases in H2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Organic growth of ~4% remains below the company's long-term ambition, and the gap between 4% organic and 10% reported growth highlights M&amp;A dependency — any integration stumble, regulatory challenge to deal-making, or biotech funding reversal could expose the growth gap [1]</w:t>
      </w:r>
    </w:p>
    <w:p>
      <w:pPr>
        <w:spacing w:before="40" w:after="40"/>
        <w:ind w:left="283"/>
      </w:pPr>
      <w:r>
        <w:rPr>
          <w:rFonts w:ascii="Calibri" w:hAnsi="Calibri"/>
          <w:b/>
          <w:color w:val="4A6B25"/>
          <w:sz w:val="20"/>
        </w:rPr>
        <w:t xml:space="preserve">2. </w:t>
      </w:r>
      <w:r>
        <w:rPr>
          <w:rFonts w:ascii="Calibri" w:hAnsi="Calibri"/>
          <w:b w:val="0"/>
          <w:color w:val="3A4A28"/>
          <w:sz w:val="20"/>
        </w:rPr>
        <w:t>Debt load of $42.55B creates refinancing risk and limits M&amp;A optionality, while ROE compression from 18.5% to 13.52% over five years suggests diminishing returns on the serial acquisition strategy as goodwill and intangibles accumulate [4]</w:t>
      </w:r>
    </w:p>
    <w:p>
      <w:pPr>
        <w:spacing w:before="40" w:after="40"/>
        <w:ind w:left="283"/>
      </w:pPr>
      <w:r>
        <w:rPr>
          <w:rFonts w:ascii="Calibri" w:hAnsi="Calibri"/>
          <w:b/>
          <w:color w:val="4A6B25"/>
          <w:sz w:val="20"/>
        </w:rPr>
        <w:t xml:space="preserve">3. </w:t>
      </w:r>
      <w:r>
        <w:rPr>
          <w:rFonts w:ascii="Calibri" w:hAnsi="Calibri"/>
          <w:b w:val="0"/>
          <w:color w:val="3A4A28"/>
          <w:sz w:val="20"/>
        </w:rPr>
        <w:t>Forward P/E expansion from ~18x to 23.56x in 2026 leaves the stock vulnerable to multiple contraction if Q3-Q4 results disappoint or if organic growth fails to accelerate toward mid-single-digit targets, particularly given the PEG of 2.61 implying the market already prices in significant earnings acceleration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Thermo Fisher's core business — manufacturing and selling physical scientific instruments, chemical reagents, laboratory consumables, and clinical trial services — is deeply protected from AI disruption. AI cannot replace mass spectrometers, centrifuges, cell culture media, or the physical infrastructure of drug discovery and clinical testing [1]. The company's $46B+ revenue base is overwhelmingly tied to physical products and hands-on services that require domain expertise, regulatory compliance (FDA, EMA), and global logistics infrastructure. AI actually serves as a tailwind: accelerating drug discovery increases demand for Thermo Fisher's instruments and consumables as pharmaceutical companies run more experiments faster. The primary AI risk is narrow — AI-powered laboratory automation from competitors could threaten the higher-margin digital workflow and software portions of the business. AI Opportunity (1/1): Thermo Fisher's collaborations with NVIDIA, TetraScience, and OpenAI represent concrete AI revenue development, with AI-powered automation and AI-native data workflows being deployed into customer laboratories and biopharma R&amp;D facilities, plus AI-driven mass spectrometry capabilities shipping in next-generation instruments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-92</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Abortifacients </w:t>
      </w:r>
      <w:r>
        <w:rPr>
          <w:rFonts w:ascii="Calibri" w:hAnsi="Calibri"/>
          <w:b w:val="0"/>
          <w:color w:val="9DAF88"/>
          <w:sz w:val="17"/>
        </w:rPr>
        <w:t xml:space="preserve">  ·  </w:t>
      </w:r>
      <w:r>
        <w:rPr>
          <w:rFonts w:ascii="Calibri" w:hAnsi="Calibri"/>
          <w:b/>
          <w:color w:val="DC2626"/>
          <w:sz w:val="17"/>
        </w:rPr>
        <w:t xml:space="preserve"> Embryonic Stem Cells </w:t>
      </w:r>
      <w:r>
        <w:rPr>
          <w:rFonts w:ascii="Calibri" w:hAnsi="Calibri"/>
          <w:b w:val="0"/>
          <w:color w:val="9DAF88"/>
          <w:sz w:val="17"/>
        </w:rPr>
        <w:t xml:space="preserve">  ·  </w:t>
      </w:r>
      <w:r>
        <w:rPr>
          <w:rFonts w:ascii="Calibri" w:hAnsi="Calibri"/>
          <w:b/>
          <w:color w:val="DC2626"/>
          <w:sz w:val="17"/>
        </w:rPr>
        <w:t xml:space="preserve"> In Vitro Fertilization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Thermo Fisher Scientific Q2 2026 Earnings Release — Revenue $11.99B (+10% YoY), Adjusted EPS $6.03 (+13%), Raised FY2026 Guidance to $47.4-48.1B, July 2026</w:t>
      </w:r>
    </w:p>
    <w:p>
      <w:pPr>
        <w:spacing w:before="20" w:after="20"/>
        <w:ind w:left="170"/>
      </w:pPr>
      <w:r>
        <w:rPr>
          <w:rFonts w:ascii="Calibri" w:hAnsi="Calibri"/>
          <w:b/>
          <w:color w:val="4A6B25"/>
          <w:sz w:val="15"/>
        </w:rPr>
        <w:t xml:space="preserve">2. </w:t>
      </w:r>
      <w:r>
        <w:rPr>
          <w:rFonts w:ascii="Calibri" w:hAnsi="Calibri"/>
          <w:b w:val="0"/>
          <w:color w:val="3A4A28"/>
          <w:sz w:val="17"/>
        </w:rPr>
        <w:t>Thermo Fisher Scientific Corporate Website, Glassdoor Reviews, CNBC Interview with CEO Marc Casper — Mission, AI Partnerships (NVIDIA, OpenAI, TetraScience), Leadership Transition, 2026</w:t>
      </w:r>
    </w:p>
    <w:p>
      <w:pPr>
        <w:spacing w:before="20" w:after="20"/>
        <w:ind w:left="170"/>
      </w:pPr>
      <w:r>
        <w:rPr>
          <w:rFonts w:ascii="Calibri" w:hAnsi="Calibri"/>
          <w:b/>
          <w:color w:val="4A6B25"/>
          <w:sz w:val="15"/>
        </w:rPr>
        <w:t xml:space="preserve">3. </w:t>
      </w:r>
      <w:r>
        <w:rPr>
          <w:rFonts w:ascii="Calibri" w:hAnsi="Calibri"/>
          <w:b w:val="0"/>
          <w:color w:val="3A4A28"/>
          <w:sz w:val="17"/>
        </w:rPr>
        <w:t>Thermo Fisher Scientific Corporate Social Responsibility Report — STEM Education 89,500+ Students, 120,000+ Volunteer Hours, Net-Zero 2050 Commitment, 2025-2026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GuruFocus — TMO Key Statistics: Forward P/E 23.56x, D/E 81%, ROE 13.52%, Profit Margin 15.04%, Stock Price ~$590,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