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TMQ</w:t>
      </w:r>
      <w:r>
        <w:rPr>
          <w:rFonts w:ascii="Calibri" w:hAnsi="Calibri"/>
          <w:b/>
          <w:color w:val="1A2010"/>
          <w:sz w:val="40"/>
        </w:rPr>
        <w:t xml:space="preserve">  Trilogy Metals Inc.</w:t>
      </w:r>
    </w:p>
    <w:p>
      <w:pPr>
        <w:spacing w:after="120"/>
      </w:pPr>
      <w:r>
        <w:rPr>
          <w:rFonts w:ascii="Calibri" w:hAnsi="Calibri"/>
          <w:b/>
          <w:color w:val="6E8450"/>
          <w:sz w:val="18"/>
        </w:rPr>
        <w:t>GROWTH SLEEVE · 2026-10-21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 Canada</w:t>
      </w:r>
    </w:p>
    <w:p>
      <w:pPr>
        <w:spacing w:after="80"/>
      </w:pPr>
      <w:r>
        <w:rPr>
          <w:rFonts w:ascii="Calibri" w:hAnsi="Calibri"/>
          <w:b w:val="0"/>
          <w:color w:val="3A4A28"/>
          <w:sz w:val="20"/>
        </w:rPr>
        <w:t>Trilogy Metals is a pre-revenue copper-zinc exploration and development company focused on the Upper Kobuk Mineral Projects (UKMP) in the Ambler Mining District of northwestern Alaska. The company operates through a 50/50 joint venture (Ambler Metals LLC) with South32 Limited, targeting the Arctic and Bornite deposits — two of the highest-grade undeveloped copper deposits globally. In October 2025, the U.S. government acquired a 10% strategic stake in the company. TMQ reported Q1 2026 EPS of -$0.04 with zero revenue, consistent with its pre-production stage.</w:t>
      </w:r>
    </w:p>
    <w:p>
      <w:r>
        <w:rPr>
          <w:rFonts w:ascii="Calibri" w:hAnsi="Calibri"/>
          <w:b/>
          <w:color w:val="6E8450"/>
          <w:sz w:val="18"/>
        </w:rPr>
        <w:t>25 Employees · https://www.trilogymetals.com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Trilogy Metals has been in exploration and development mode for over a decade with no product launches, market pivots, or business model transformations — the company remains pre-revenue with the same Arctic and Bornite project focus it has had since rebranding from NovaCopper in 2017 [1]. AI Deployment (0/2): No AI-powered products or AI-driven cost savings; operations are limited to geological exploration and permitting activities with no technology deployment to customers [1]. Market Share (0/2): Pre-revenue with no production, no market share in copper or zinc, and no commercial operations to measure against peers [2]. Product Pipeline (1/2): The Arctic deposit (PFS completed) represents a world-class copper-zinc resource with 36.7Mt grading 2.32% Cu and 3.24% Zn, and the U.S. government's 10% equity stake in October 2025 validates the strategic importance of the Ambler district for critical minerals supply chain security [3]. However, no firm production timeline or construction decision has been announced, and the Ambler Road remains in litigation. R&amp;D Intensity (0/1): Exploration expenditures are standard for a junior miner with no differentiated R&amp;D investment above peer norms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Trilogy Metals' stated purpose centers on responsible development of critical mineral resources in Alaska — a functional description of what the company does rather than a distinctive or inspiring vision of a better future. The mission is interchangeable with any junior mining company [4]. Community Impact (0/2): No evidence of charitable programs, community investment, or foundation activities. The company faces active opposition from Alaska Native communities and environmental groups over the proposed Ambler Road, and the Department of Interior suspended the road's environmental impact statement for supplemental review in 2022, signaling unresolved community relations challenges [3]. Employee Retention (0/2): With approximately 25 employees and no public data on tenure or turnover, no assessment of retention quality is possible [1]. Insider Buying (0/2): No evidence of meaningful net insider buying by CEO Tony Giardini or other executives in the past 12 months; insider transaction data is sparse for this micro-cap explorer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Trilogy Metals' financial profile reflects its pre-revenue exploration stage with severe deficiencies across most metrics. D/E of 0.07% (score 1.0, 1x weight) reflects essentially zero debt, as the company is funded entirely through equity raises — a positive for balance sheet safety but reflecting the absence of bankable assets to lever against [1]. ROE of -39.0% (score 0.0, 2x weight) reflects ongoing losses with no revenue to offset exploration and G&amp;A spending; Q1 2026 reported EPS of -$0.04 on zero revenue [2]. Profit margin of 0.0% (score 0.0, 1x weight) is consistent with no commercial operations. Forward P/E, Revenue Growth YoY, Revenue Growth 5yr CAGR, and PEG ratio are all excluded as not applicable for a pre-revenue company. Daily dollar volume of $2.8M ($2.28 x 1.23M shares) clears the $1M liquidity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Trilogy Metals operates as a classic finite-game mining explorer: the company exists to advance a specific mineral deposit toward production and monetize it for shareholders. There is no evidence of a Just Cause beyond resource extraction, no track record of courageous long-term decisions beyond basic project persistence, and no organizational culture data to assess team trust. The company's singular focus on the UKMP for over a decade reflects determination but also rigidity — there has been no strategic adaptation or diversification despite prolonged permitting delays.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Trilogy Metals exists to develop copper-zinc deposits in Alaska and generate returns for shareholders. There is no articulated vision of a better future beyond resource monetization — the company's communications focus on project economics, permitting milestones, and share price catalysts [1][4]. This is a finite player by Sinek's definition: the purpose is to win a specific game (get the mine built and producing), not to advance an enduring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25 employees and no public data on organizational culture, voluntary turnover, employee satisfaction, or leadership practices, there is insufficient evidence to assess the trust environment at Trilogy Metals [1]. The company's small size and exploration-stage operations mean organizational dynamics are unlikely to be documented publicly.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Trilogy Metals frames competition or uses competitive pressure for self-improvement. As a single-asset explorer, the company does not compete directly in copper markets and has no public commentary on learning from peers or rivals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Trilogy Metals has pursued the same Upper Kobuk Mineral Projects for over a decade without strategic adaptation, diversification, or reinvention [1]. The company has not pivoted in response to changing conditions — when the Ambler Road faced legal challenges, the response was continued litigation rather than creative alternatives. The single-asset focus is appropriate for a junior explorer but reflects rigidity by Sinek's standard.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has demonstrated persistence in advancing the UKMP through prolonged regulatory and legal headwinds — the Ambler Road environmental litigation has spanned multiple years, and the company continued funding exploration and community engagement despite uncertain permitting outcomes [3]. CEO Tony Giardini has maintained strategic commitment since taking the role in June 2020, and securing the U.S. government's 10% equity stake in 2025 required sustained advocacy for the project's critical minerals significance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Trilogy Metals at $2.28 with a $414M market cap offers leveraged exposure to one of the world's highest-grade undeveloped copper-zinc deposits — the Arctic deposit's 36.7Mt resource grading 2.32% Cu and 3.24% Zn represents exceptional geological endowment at a time when copper demand is surging from electrification and AI infrastructure buildout [1][3]. The U.S. government's 10% equity stake acquisition in October 2025 validates the Ambler district's strategic importance for domestic critical minerals supply chains, and South32's 50/50 JV partnership provides operational credibility and capital backing from a $12B+ diversified miner [3].</w:t>
      </w:r>
    </w:p>
    <w:p>
      <w:pPr>
        <w:spacing w:after="120"/>
      </w:pPr>
      <w:r>
        <w:rPr>
          <w:rFonts w:ascii="Calibri" w:hAnsi="Calibri"/>
          <w:b w:val="0"/>
          <w:color w:val="3A4A28"/>
          <w:sz w:val="20"/>
        </w:rPr>
        <w:t>The bear case is overwhelming for a position-sizing perspective: TMQ is pre-revenue with no production timeline, zero earnings, and a -39% ROE reflecting continuous cash burn from exploration spending [1][2]. The Ambler Road — the only feasible access route to the mine site — remains mired in environmental litigation with the Department of Interior requesting supplemental environmental review, and Alaska Native communities and conservation groups actively opposing the project [3]. Without road access, the Arctic deposit cannot be economically developed regardless of its grade. The stock trades at $2.28, down 30% from its 50-day SMA of $3.26, reflecting market skepticism about permitting timelines. Forward P/E is negative, there is no revenue visibility, and the company will require additional equity raises that dilute existing shareholders. The risk-reward is binary: either permitting succeeds and the stock re-rates dramatically, or the project stalls indefinitely.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Resolution of Ambler Road environmental litigation and supplemental EIS approval would unlock construction of the 211-mile access road, removing the primary development bottleneck for the Arctic deposit [3]</w:t>
      </w:r>
    </w:p>
    <w:p>
      <w:pPr>
        <w:spacing w:before="40" w:after="40"/>
        <w:ind w:left="283"/>
      </w:pPr>
      <w:r>
        <w:rPr>
          <w:rFonts w:ascii="Calibri" w:hAnsi="Calibri"/>
          <w:b/>
          <w:color w:val="4A6B25"/>
          <w:sz w:val="20"/>
        </w:rPr>
        <w:t xml:space="preserve">2. </w:t>
      </w:r>
      <w:r>
        <w:rPr>
          <w:rFonts w:ascii="Calibri" w:hAnsi="Calibri"/>
          <w:b w:val="0"/>
          <w:color w:val="3A4A28"/>
          <w:sz w:val="20"/>
        </w:rPr>
        <w:t>U.S. critical minerals policy support — the federal government's 10% equity stake and growing bipartisan focus on domestic mineral supply chains could accelerate permitting and provide additional federal funding or loan guarantees [3]</w:t>
      </w:r>
    </w:p>
    <w:p>
      <w:pPr>
        <w:spacing w:before="40" w:after="40"/>
        <w:ind w:left="283"/>
      </w:pPr>
      <w:r>
        <w:rPr>
          <w:rFonts w:ascii="Calibri" w:hAnsi="Calibri"/>
          <w:b/>
          <w:color w:val="4A6B25"/>
          <w:sz w:val="20"/>
        </w:rPr>
        <w:t xml:space="preserve">3. </w:t>
      </w:r>
      <w:r>
        <w:rPr>
          <w:rFonts w:ascii="Calibri" w:hAnsi="Calibri"/>
          <w:b w:val="0"/>
          <w:color w:val="3A4A28"/>
          <w:sz w:val="20"/>
        </w:rPr>
        <w:t>Rising copper prices driven by electrification, EV adoption, and AI data center buildout increase the net present value of the Arctic deposit, potentially attracting additional JV investment or acquisition interest from major miners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Ambler Road permitting failure or indefinite delay — environmental groups and Alaska Native communities have successfully blocked or delayed the road for years, and without road access the deposit is stranded with no alternative economic development path [3]</w:t>
      </w:r>
    </w:p>
    <w:p>
      <w:pPr>
        <w:spacing w:before="40" w:after="40"/>
        <w:ind w:left="283"/>
      </w:pPr>
      <w:r>
        <w:rPr>
          <w:rFonts w:ascii="Calibri" w:hAnsi="Calibri"/>
          <w:b/>
          <w:color w:val="4A6B25"/>
          <w:sz w:val="20"/>
        </w:rPr>
        <w:t xml:space="preserve">2. </w:t>
      </w:r>
      <w:r>
        <w:rPr>
          <w:rFonts w:ascii="Calibri" w:hAnsi="Calibri"/>
          <w:b w:val="0"/>
          <w:color w:val="3A4A28"/>
          <w:sz w:val="20"/>
        </w:rPr>
        <w:t>Continuous cash burn and dilution risk — TMQ generates zero revenue and will require ongoing equity raises to fund exploration and development, diluting existing shareholders in a depressed share price environment [1][2]</w:t>
      </w:r>
    </w:p>
    <w:p>
      <w:pPr>
        <w:spacing w:before="40" w:after="40"/>
        <w:ind w:left="283"/>
      </w:pPr>
      <w:r>
        <w:rPr>
          <w:rFonts w:ascii="Calibri" w:hAnsi="Calibri"/>
          <w:b/>
          <w:color w:val="4A6B25"/>
          <w:sz w:val="20"/>
        </w:rPr>
        <w:t xml:space="preserve">3. </w:t>
      </w:r>
      <w:r>
        <w:rPr>
          <w:rFonts w:ascii="Calibri" w:hAnsi="Calibri"/>
          <w:b w:val="0"/>
          <w:color w:val="3A4A28"/>
          <w:sz w:val="20"/>
        </w:rPr>
        <w:t>South32 JV partner withdrawal risk — if South32 reassesses its commitment to the Ambler district due to permitting uncertainty or shifting capital allocation priorities, Trilogy would lose its primary source of operational and financial backing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Copper and zinc mining is a physical-world extractive industry that AI structurally cannot displace — ore bodies must be physically drilled, blasted, hauled, and processed regardless of advances in artificial intelligence [1]. Trilogy's core asset, the Arctic deposit, derives its value from geological endowment (grade and tonnage of copper-zinc mineralization), permitting milestones, and infrastructure access, none of which are substitutable by AI. If anything, growing AI infrastructure demand (data centers, power grids, electric vehicles) increases long-term copper consumption, making AI a secular tailwind for copper producers [3]. The company faces zero analyst commentary on AI substitution risk. AI Opportunity (0/1): Trilogy Metals generates no revenue from AI-related products or services and has no AI technology deployed in its exploration or development activities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Trilogy Metals Q1 2026 Earnings Report — EPS -$0.04, Zero Revenue, Pre-Production Stage, Benzinga, May 2026</w:t>
      </w:r>
    </w:p>
    <w:p>
      <w:pPr>
        <w:spacing w:before="20" w:after="20"/>
        <w:ind w:left="170"/>
      </w:pPr>
      <w:r>
        <w:rPr>
          <w:rFonts w:ascii="Calibri" w:hAnsi="Calibri"/>
          <w:b/>
          <w:color w:val="4A6B25"/>
          <w:sz w:val="15"/>
        </w:rPr>
        <w:t xml:space="preserve">2. </w:t>
      </w:r>
      <w:r>
        <w:rPr>
          <w:rFonts w:ascii="Calibri" w:hAnsi="Calibri"/>
          <w:b w:val="0"/>
          <w:color w:val="3A4A28"/>
          <w:sz w:val="17"/>
        </w:rPr>
        <w:t>Trilogy Metals Company Profile and Financial Data — Yahoo Finance, SimplyWall.St,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Ambler Road Litigation and U.S. Government 10% Stake — Mining Journal, MiningNews.net, 2022-2025</w:t>
      </w:r>
    </w:p>
    <w:p>
      <w:pPr>
        <w:spacing w:before="20" w:after="20"/>
        <w:ind w:left="170"/>
      </w:pPr>
      <w:r>
        <w:rPr>
          <w:rFonts w:ascii="Calibri" w:hAnsi="Calibri"/>
          <w:b/>
          <w:color w:val="4A6B25"/>
          <w:sz w:val="15"/>
        </w:rPr>
        <w:t xml:space="preserve">4. </w:t>
      </w:r>
      <w:r>
        <w:rPr>
          <w:rFonts w:ascii="Calibri" w:hAnsi="Calibri"/>
          <w:b w:val="0"/>
          <w:color w:val="3A4A28"/>
          <w:sz w:val="17"/>
        </w:rPr>
        <w:t>Trilogy Metals Corporate Website and Mission Statement — trilogymetals.com,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