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TNGX</w:t>
      </w:r>
      <w:r>
        <w:rPr>
          <w:rFonts w:ascii="Calibri" w:hAnsi="Calibri"/>
          <w:b/>
          <w:color w:val="1A2010"/>
          <w:sz w:val="40"/>
        </w:rPr>
        <w:t xml:space="preserve">  Tango Therapeutics, Inc.</w:t>
      </w:r>
    </w:p>
    <w:p>
      <w:pPr>
        <w:spacing w:after="120"/>
      </w:pPr>
      <w:r>
        <w:rPr>
          <w:rFonts w:ascii="Calibri" w:hAnsi="Calibri"/>
          <w:b/>
          <w:color w:val="6E8450"/>
          <w:sz w:val="18"/>
        </w:rPr>
        <w:t>GROWTH SLEEVE · 2026-09-03 · Inspire: 17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Tango Therapeutics is a clinical-stage biotechnology company focused on discovering novel drug targets and delivering the next generation of precision medicine for cancer treatment. The company's lead asset, vopimetostat, demonstrated a 92% response rate in pancreatic cancer and advanced into full clinical development in 2026. Following a CEO transition from Barbara Weber to Dr. Malte Peters in January 2026, the company holds $1.0B in cash as of Q2 2026 but generates no commercial revenue after the Gilead collaboration agreement was truncated in 2025. Market cap is approximately $4.3B.</w:t>
      </w:r>
    </w:p>
    <w:p>
      <w:r>
        <w:rPr>
          <w:rFonts w:ascii="Calibri" w:hAnsi="Calibri"/>
          <w:b/>
          <w:color w:val="6E8450"/>
          <w:sz w:val="18"/>
        </w:rPr>
        <w:t>137 Employees · https://www.tangotx.com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Tango has advanced vopimetostat from discovery through clinical development with a striking 92% response rate in pancreatic cancer — a notoriously difficult-to-treat malignancy — but has not yet achieved FDA approval or generated commercial revenue from any product [1]. The truncation of the Gilead collaboration in 2025 represents a setback in its partnership strategy. AI Deployment (0/2): No evidence of AI-powered products shipping to customers or quantified AI-driven cost savings; the company relies on traditional genomics-based target discovery rather than AI-driven drug development platforms. Market Share (0/2): As a clinical-stage company with zero approved products, Tango holds no commercial market share in any therapeutic category [1]. Product Pipeline (1/2): The pipeline includes vopimetostat (USP1 inhibitor) advancing in pancreatic cancer and TNG456 in clinical development, with specific clinical data showing 92% response rates, though timelines to FDA approval remain uncertain [1]. R&amp;D Intensity (1/1): R&amp;D spending of $37.2M in Q2 2026 represents over 100% of trailing revenue, well above the biotech industry average, reflecting commitment to pipeline advancement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Tango's stated purpose — discovering novel drug targets and delivering the next generation of precision medicine for cancer — is clear and identifies what the company does and for whom, but does not articulate a deeper transformative vision beyond the standard oncology biotech framing. Community Impact (0/2): No evidence of distinctive charitable programs, foundation activity, or community investment beyond standard corporate practices was identified. Employee Retention (0/2): Glassdoor rating of 3.3/5 from 18 reviews with only 64% recommending the company to a friend suggests average-to-below-average employee sentiment for a biotech startup; no specific retention or tenure data available [3]. Insider Buying (0/2): No evidence of meaningful net insider buying was identified; the recent CEO transition from Barbara Weber to Dr. Malte Peters in January 2026 complicates insider transaction analysis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pre-commercial clinical-stage biotech, Tango's financial profile reflects deep unprofitability: profit margin of -188% and deeply negative ROE render both metrics at 0 [2]. Collaboration revenue collapsed after the Gilead agreement truncation — Q2 2026 revenue was $0 versus $3.2M in Q2 2025 — driving severe negative revenue growth [1]. The sole positive metric is an exceptionally low D/E ratio of 8%, reflecting the $1.0B cash position against minimal debt ($32.8M), scoring full marks on balance sheet leverage [2]. Forward P/E and PEG are unavailable due to negative earnings. The stock clears the liquidity floor with approximately $67M in estimated daily traded value ($22.32 x ~3M average daily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Tango demonstrates a genuine connection to purpose through its cancer treatment mission, with the $1.0B cash position and continued pipeline investment reflecting long-term commitment. However, the January 2026 CEO transition from Barbara Weber to Dr. Malte Peters introduces leadership continuity questions, and the Gilead collaboration truncation suggests the company's partnership strategy has not been fully validated. The organization is too young and small to have been tested through the multi-decade consistency that Sinek values most.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Tango's purpose — discovering novel targets to deliver precision cancer medicines — connects meaningfully to saving lives and represents a genuine cause beyond profit. The 92% response rate in pancreatic cancer demonstrates the cause is being advanced through execution, not just rhetoric [1]. However, the company is only 8 years old (founded 2017) and has not yet proven this cause through an extended track record, leadership crisis, or market downturn. The CEO transition to Dr. Peters, while orderly, has not been tested under pressure.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With 137 employees, Tango maintains a small, focused team. Glassdoor reviews mention respectful work-life balance ('no emails after business hours'), but the overall 3.3/5 rating and 64% recommendation rate suggest adequate but unremarkable organizational trust [3]. The CEO transition was handled professionally with Barbara Weber moving to Executive Chair, suggesting deliberate succession planning, but there is insufficient evidence of exceptional trust or empowerment beyond standard biotech norms.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management commentary acknowledging competitors' strengths or framing competition as motivation for self-improvement. As a clinical-stage company focused on novel targets (USP1 inhibition), Tango operates in a relatively uncontested niche, which may limit competitive self-awareness rather than reflecting an infinite mindset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Tango has shown some strategic adaptation by pivoting from its original Gilead collaboration framework to an independent development path after the collaboration was truncated in 2025 [1]. The willingness to advance vopimetostat independently, supported by the $1.0B cash position, demonstrates flexibility in response to a partnership setback. However, the pivot was driven partly by circumstance rather than a proactive strategic reinvention in service of the Just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Tango's decision to maintain $37.2M quarterly R&amp;D spending while generating zero revenue in Q2 2026 demonstrates commitment to long-term pipeline development over short-term financial metrics [2]. The $1.0B cash position provides runway for continued investment without dilution. However, this is standard operating procedure for well-funded clinical-stage biotechs — it does not represent an exceptional sacrifice or counterintuitive strategic choice that distinguishes Tango from peers.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Tango Therapeutics presents a compelling risk/reward profile for biotech-tolerant investors: the 92% response rate in pancreatic cancer for vopimetostat represents potentially transformative clinical data in an indication with a 12% five-year survival rate and limited treatment options [1]. The $1.0B cash position as of Q2 2026 provides multi-year operational runway without dilution risk, and the $4.3B market cap prices the pipeline at a significant discount to the $10B+ addressable market in precision oncology. Dr. Malte Peters brings deep oncology development and regulatory expertise as the new CEO, potentially accelerating the path to FDA approval. Analyst consensus is Strong Buy with a $44.75 average price target, implying approximately 100% upside from current levels.</w:t>
      </w:r>
    </w:p>
    <w:p>
      <w:pPr>
        <w:spacing w:after="120"/>
      </w:pPr>
      <w:r>
        <w:rPr>
          <w:rFonts w:ascii="Calibri" w:hAnsi="Calibri"/>
          <w:b w:val="0"/>
          <w:color w:val="3A4A28"/>
          <w:sz w:val="20"/>
        </w:rPr>
        <w:t>The bear case centers on binary clinical risk and revenue absence. Tango generates zero commercial revenue following the Gilead collaboration truncation, with a net loss of $45.5M in Q1 2026 expanding from $39.9M a year prior [2]. The 92% response rate comes from early-stage data that may not replicate in larger, randomized Phase III trials — pancreatic cancer trials have a high historical failure rate. The stock has surged 482% over the past year, pricing in substantial clinical success that remains unproven. Infrastructure metrics are among the weakest in the screening universe: no earnings, no revenue trajectory, and no path to profitability within the next 2-3 years. The CEO transition introduces execution risk at a critical pipeline inflection point. If the vopimetostat data disappoints in later-stage trials, the stock could decline 50%+ rapidly given the binary nature of biotech clinical outcomes.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Vopimetostat Phase III initiation or pivotal data readout in pancreatic cancer could validate the 92% early response rate and de-risk the path to FDA approval, potentially driving a partnership or acquisition premium [1]</w:t>
      </w:r>
    </w:p>
    <w:p>
      <w:pPr>
        <w:spacing w:before="40" w:after="40"/>
        <w:ind w:left="283"/>
      </w:pPr>
      <w:r>
        <w:rPr>
          <w:rFonts w:ascii="Calibri" w:hAnsi="Calibri"/>
          <w:b/>
          <w:color w:val="4A6B25"/>
          <w:sz w:val="20"/>
        </w:rPr>
        <w:t xml:space="preserve">2. </w:t>
      </w:r>
      <w:r>
        <w:rPr>
          <w:rFonts w:ascii="Calibri" w:hAnsi="Calibri"/>
          <w:b w:val="0"/>
          <w:color w:val="3A4A28"/>
          <w:sz w:val="20"/>
        </w:rPr>
        <w:t>TNG456 clinical data could diversify the pipeline beyond a single lead asset, reducing binary risk and expanding the company's addressable market in precision oncology [1]</w:t>
      </w:r>
    </w:p>
    <w:p>
      <w:pPr>
        <w:spacing w:before="40" w:after="40"/>
        <w:ind w:left="283"/>
      </w:pPr>
      <w:r>
        <w:rPr>
          <w:rFonts w:ascii="Calibri" w:hAnsi="Calibri"/>
          <w:b/>
          <w:color w:val="4A6B25"/>
          <w:sz w:val="20"/>
        </w:rPr>
        <w:t xml:space="preserve">3. </w:t>
      </w:r>
      <w:r>
        <w:rPr>
          <w:rFonts w:ascii="Calibri" w:hAnsi="Calibri"/>
          <w:b w:val="0"/>
          <w:color w:val="3A4A28"/>
          <w:sz w:val="20"/>
        </w:rPr>
        <w:t>$1.0B cash position provides runway through 2029+ without dilution, allowing the company to negotiate from a position of strength on potential partnerships or licensing deals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Binary clinical risk: vopimetostat's 92% early response rate may not replicate in larger randomized trials, and pancreatic cancer programs have a historically high Phase III failure rate that could destroy most of the current market cap [1]</w:t>
      </w:r>
    </w:p>
    <w:p>
      <w:pPr>
        <w:spacing w:before="40" w:after="40"/>
        <w:ind w:left="283"/>
      </w:pPr>
      <w:r>
        <w:rPr>
          <w:rFonts w:ascii="Calibri" w:hAnsi="Calibri"/>
          <w:b/>
          <w:color w:val="4A6B25"/>
          <w:sz w:val="20"/>
        </w:rPr>
        <w:t xml:space="preserve">2. </w:t>
      </w:r>
      <w:r>
        <w:rPr>
          <w:rFonts w:ascii="Calibri" w:hAnsi="Calibri"/>
          <w:b w:val="0"/>
          <w:color w:val="3A4A28"/>
          <w:sz w:val="20"/>
        </w:rPr>
        <w:t>Zero commercial revenue and expanding losses ($45.5M net loss in Q1 2026 vs $39.9M prior year) with no path to profitability within 3 years creates sustained cash burn against the $1.0B reserve [2]</w:t>
      </w:r>
    </w:p>
    <w:p>
      <w:pPr>
        <w:spacing w:before="40" w:after="40"/>
        <w:ind w:left="283"/>
      </w:pPr>
      <w:r>
        <w:rPr>
          <w:rFonts w:ascii="Calibri" w:hAnsi="Calibri"/>
          <w:b/>
          <w:color w:val="4A6B25"/>
          <w:sz w:val="20"/>
        </w:rPr>
        <w:t xml:space="preserve">3. </w:t>
      </w:r>
      <w:r>
        <w:rPr>
          <w:rFonts w:ascii="Calibri" w:hAnsi="Calibri"/>
          <w:b w:val="0"/>
          <w:color w:val="3A4A28"/>
          <w:sz w:val="20"/>
        </w:rPr>
        <w:t>CEO transition from Barbara Weber to Dr. Malte Peters in January 2026 introduces execution risk at the most critical pipeline inflection point, as Peters must navigate pivotal trial design and potential regulatory interactions without an established track record at Tango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Tango's core business — wet-lab drug discovery, clinical trial execution, and FDA regulatory navigation — involves physical-world processes that AI cannot structurally displace [1]. Drug development requires actual patient enrollment, biological sample analysis, and regulatory submissions that demand human oversight and physical infrastructure. AI tools may accelerate target identification and clinical trial design, but they cannot replace the multi-year clinical development process required for FDA approval. The regulatory moat (IND applications, Phase I-III trials, NDA submissions) creates structural protection against AI disruption. AI Opportunity (0/1): Tango does not generate revenue from AI products or services; while computational biology may support internal R&amp;D workflows, no AI-derived revenue is quantified or disclosed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17</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Tango Therapeutics Q2 2026 Earnings Release — $0 collaboration revenue, 92% pancreatic cancer response rate, $1.0B cash position, vopimetostat and TNG456 advancement, August 2026</w:t>
      </w:r>
    </w:p>
    <w:p>
      <w:pPr>
        <w:spacing w:before="20" w:after="20"/>
        <w:ind w:left="170"/>
      </w:pPr>
      <w:r>
        <w:rPr>
          <w:rFonts w:ascii="Calibri" w:hAnsi="Calibri"/>
          <w:b/>
          <w:color w:val="4A6B25"/>
          <w:sz w:val="15"/>
        </w:rPr>
        <w:t xml:space="preserve">2. </w:t>
      </w:r>
      <w:r>
        <w:rPr>
          <w:rFonts w:ascii="Calibri" w:hAnsi="Calibri"/>
          <w:b w:val="0"/>
          <w:color w:val="3A4A28"/>
          <w:sz w:val="17"/>
        </w:rPr>
        <w:t>Tango Therapeutics Q1 2026 Earnings Release — Net loss $45.5M, R&amp;D $37.2M, financial metrics, May 2026</w:t>
      </w:r>
    </w:p>
    <w:p>
      <w:pPr>
        <w:spacing w:before="20" w:after="20"/>
        <w:ind w:left="170"/>
      </w:pPr>
      <w:r>
        <w:rPr>
          <w:rFonts w:ascii="Calibri" w:hAnsi="Calibri"/>
          <w:b/>
          <w:color w:val="4A6B25"/>
          <w:sz w:val="15"/>
        </w:rPr>
        <w:t xml:space="preserve">3. </w:t>
      </w:r>
      <w:r>
        <w:rPr>
          <w:rFonts w:ascii="Calibri" w:hAnsi="Calibri"/>
          <w:b w:val="0"/>
          <w:color w:val="3A4A28"/>
          <w:sz w:val="17"/>
        </w:rPr>
        <w:t>Tango Therapeutics CEO Transition — Barbara Weber retired, Dr. Malte Peters appointed CEO January 2026; Glassdoor reviews 3.3/5 — IR.tangotx.com, Glassdoor,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