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TOI</w:t>
      </w:r>
      <w:r>
        <w:rPr>
          <w:rFonts w:ascii="Calibri" w:hAnsi="Calibri"/>
          <w:b/>
          <w:color w:val="1A2010"/>
          <w:sz w:val="40"/>
        </w:rPr>
        <w:t xml:space="preserve">  The Oncology Institute,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2026-09-13 · Inspire: 42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Medical Care Facilities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The Oncology Institute (TOI), rebranded as Starling Oncology (STLN) on August 4, 2026, is a value-based, technology-enabled oncology platform founded in 2007 and headquartered in Cerritos, California. The company delivers cancer care through 100+ community clinics and affiliate locations across five states, serving approximately 2.1 million patients through 400+ clinicians. It operates through Specialty Pharmacy, Patient Services, and Clinical Trials segments, increasingly under delegated capitation contracts. Q2 2026 revenue reached $161.3M (+38.4% TTM), with Q1 2026 revenue of $147.4M (+41.2% YoY) narrowing the net loss to $2.5M from $19.6M.</w:t>
      </w:r>
    </w:p>
    <w:p>
      <w:r>
        <w:rPr>
          <w:rFonts w:ascii="Calibri" w:hAnsi="Calibri"/>
          <w:b/>
          <w:color w:val="6E8450"/>
          <w:sz w:val="18"/>
        </w:rPr>
        <w:t>641 Employees · https://starlingoncology.com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TOI has driven a real business-model shift toward delegated capitation and specialty pharmacy, producing 41.2% YoY revenue growth to $147.4M in Q1 2026 and narrowing the net loss to $2.5M from $19.6M a year earlier, with FY2026 guidance of $630-650M (28% growth at the midpoint) [1]. This is a genuine new revenue stream, though the core clinical service (community oncology care) is unchanged. AI Deployment (1/2): CIO Rakesh Panda was promoted in January 2026 specifically to lead AI-enablement of the technology platform, but no AI product has shipped to patients/payers yet and no dollar savings have been quantified [2]. Market Share (1/2): TOI operates 100+ clinics and affiliate locations across five states and is a meaningful community-oncology player, but has no disclosed leadership position versus hospital-based oncology networks [1]. Product Pipeline (1/2): 2026 guidance ($150M from capitation, gross profit of $97-107M, adjusted EBITDA of $0-9M) provides real financial visibility, but this is capacity/contract expansion rather than a named next-generation product [1]. R&amp;D Intensity (0/1): No R&amp;D spend data was found; TOI is a care-delivery company, not a product/device developer.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TOI's purpose of bringing 'specialized, value-based cancer care' into community settings is clear and identifies a genuine access gap (cancer patients otherwise routed to distant hospital systems), but is not distinctively differentiated language beyond standard value-based-care positioning [2]. Community Impact (1/2): The delegated capitation and community-clinic model inherently expands cancer-care access for underserved patients, but no specific charitable dollar figures or named community programs were found [1]. Employee Retention (0/2): Glassdoor data shows only 20% of employees would recommend TOI to a friend, with work-life balance rated 2.8/5, culture and values 2.4/5, and career opportunities 2.4/5; reviews cite inexperienced top executives and improper planning that led to workforce reductions [2]. Insider Buying (0/2): No evidence of meaningful net insider buying in the last 12 months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metrics: D/E, ROE, forward P/E, and PEG are all unavailable ('n/a') because TOI carries negative book value, so those metrics — and their combined 4 of 10 growth-sleeve weight units — are excluded rather than penalized [2]. Of the three metrics that remain, Revenue Growth YoY (27.8% FY2025) and Revenue Growth 5yr CAGR (~25.3%, from $203M in FY2021 to $502.7M in FY2025) both cap out at the maximum score, while Profit Margin (-7.97%) scores zero against the ≥20% target [2]. This produces a mechanically high score that should be read with caution: TOI's negative book equity and reported Altman Z-Score of 1.56 signal real balance-sheet fragility that the excluded D/E/ROE metrics would likely have penalized had they been computable. Liquidity floor clears comfortably: 790,888 avg daily volume x $6.17 = ~$4.9M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TOI's shift to value-based, capitated community oncology reflects a genuine cause partially lived out through real strategic decisions and near-term financial sacrifice. But severe, well-documented internal culture problems — only 20% of employees would recommend working there — undercut the Circle of Safety Sinek treats as foundational, and there is no evidence of a worthy-rivals mindset in the company's public communications.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Bringing high-quality, affordable cancer care into community settings — rather than requiring patients to travel to distant hospital systems — is a genuine, service-oriented cause connected to TOI's capitated contract strategy and 2026 guidance [1][2]. It hasn't been tested across multiple economic cycles given the company's relatively short public history and continued losses.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reviews describe a low-trust environment — only 20% recommend rate, 2.4/5 culture and values, 2.4/5 career opportunities — with specific complaints about inexperienced top executives and improper planning that led to workforce reductions [2]. This is direct, negative evidence rather than an absence of data.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TOI leadership framing competition with hospital-based oncology systems or other community networks as a source of self-improvement; public commentary focuses on contract wins and capitation expansion rather than competitive learning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shift from fee-for-service oncology to a delegated capitation and specialty-pharmacy model represents a real business-model evolution that carries actuarial risk onto TOI's own balance sheet, but it remains within the company's core oncology-care identity rather than a transformative reinvention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Pursuing capitated contracts — accepting downside actuarial risk in exchange for long-term margin upside — while still posting net losses shows leadership prioritizing the value-based model over near-term profitability; the narrowing Q1 2026 net loss ($2.5M vs. $19.6M) suggests the bet is beginning to pay off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Oncology Institute is scaling a differentiated, technology-enabled community oncology model with genuine operating momentum: Q1 2026 revenue grew 41.2% YoY to $147.4M, the net loss narrowed to $2.5M from $19.6M, and adjusted EBITDA loss improved to $2.4M from $5.1M [1]. FY2026 guidance calls for $630-650M revenue (28% growth at the midpoint), $150M from capitation, and a swing to positive free cash flow of $5-15M — a meaningful profitability inflection for a company that has historically burned cash [1]. Analysts have responded by raising price targets to $7.75 from $7.00 on updated growth and margin assumptions, and the delegated capitation strategy — expanding record specialty pharmacy performance — creates a second growth engine beyond core physician services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balance-sheet fragility and organizational dysfunction that the mechanical Infrastructure score does not fully capture. TOI's negative book value makes D/E and ROE incomputable, and the reported Altman Z-Score of 1.56 signals elevated bankruptcy risk that a purely revenue-growth-driven Infrastructure score of 8 obscures [2]. Culturally, only 20% of Glassdoor reviewers would recommend TOI to a friend, with reviews specifically citing inexperienced executives and workforce reductions from improper planning — a red flag for clinician retention in a business built on physician relationships [2]. A May 2026 third-party data breach affecting patient information adds regulatory and reputational risk on top of the company's continued net losses and reliance on the capitated model's actuarial assumptions holding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FY2026 guidance of $630-650M revenue and a swing to positive free cash flow ($5-15M) would validate the delegated capitation strategy and could re-rate the stock from its current discount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CIO-led AI-enablement of the technology platform, if it produces quantified savings or measurable clinical outcome improvements, would strengthen both the Innovation and AI Opportunity scores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expansion of capitated lives and specialty pharmacy volume, building on 'record specialty pharmacy performance' cited in Q1 2026, would extend the current growth trajectory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Negative book value renders D/E and ROE incomputable, inflating the mechanical Infrastructure score; the disclosed Altman Z-Score of 1.56 indicates real elevated bankruptcy risk not otherwise reflected in the composite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Severe employee-culture dysfunction (20% Glassdoor recommend rate, 2.4/5 culture score, cited executive inexperience and workforce reductions) threatens clinician retention and quality of care in a physician-relationship-dependent business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 disclosed third-party data breach affecting patient information (unauthorized access detected May 20, 2026) creates regulatory, litigation, and reputational risk on top of continued net losses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TOI's core business — in-person physician oncology visits, chemotherapy/infusion administration, and specialty pharmacy dispensing — requires hands-on clinical delivery and heavy CMS/state regulatory oversight that AI cannot substitute [3]. AI-based risk stratification and predictive analytics are increasingly used to identify patients at risk of relapse or hospitalization, which is complementary to, not a substitute for, TOI's capitated care model — better outcomes prediction directly supports the economics of value-based contracts. AI Opportunity (0/1): The company has not yet disclosed quantified AI-driven revenue or cost savings; the CIO's AI-enablement mandate (announced January 2026) is still in early stages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42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The Oncology Institute Q1 2026 Earnings Release, Guidance, and Call Transcript (Yahoo Finance, StockTitan, Quartr, Investing.com),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StockAnalysis.com — STLN (formerly TOI) Statistics, Financials, and Company Profile,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Uses and limitations of artificial intelligence for oncology, PMC / NCBI — AI applications in cancer risk stratification and value-based care,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SecurityWeek / ClaimDepot — The Oncology Institute third-party data breach disclosure,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Glassdoor — The Oncology Institute of Hope and Innovation employee reviews,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