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TOVX</w:t>
      </w:r>
      <w:r>
        <w:rPr>
          <w:rFonts w:ascii="Calibri" w:hAnsi="Calibri"/>
          <w:b/>
          <w:color w:val="1A2010"/>
          <w:sz w:val="40"/>
        </w:rPr>
        <w:t xml:space="preserve">  Theriva Biologics, Inc.</w:t>
      </w:r>
    </w:p>
    <w:p>
      <w:pPr>
        <w:spacing w:after="120"/>
      </w:pPr>
      <w:r>
        <w:rPr>
          <w:rFonts w:ascii="Calibri" w:hAnsi="Calibri"/>
          <w:b/>
          <w:color w:val="6E8450"/>
          <w:sz w:val="18"/>
        </w:rPr>
        <w:t>GROWTH SLEEVE · 2026-10-13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ASE · United States</w:t>
      </w:r>
    </w:p>
    <w:p>
      <w:pPr>
        <w:spacing w:after="80"/>
      </w:pPr>
      <w:r>
        <w:rPr>
          <w:rFonts w:ascii="Calibri" w:hAnsi="Calibri"/>
          <w:b w:val="0"/>
          <w:color w:val="3A4A28"/>
          <w:sz w:val="20"/>
        </w:rPr>
        <w:t>Theriva Biologics is a clinical-stage biotechnology company developing oncolytic virus and microbiome-based therapeutics for cancer and related diseases. Its lead candidate VCN-01 (zabilugene almadenorepvec) is an oncolytic adenovirus in Phase 2 clinical trials for metastatic pancreatic ductal adenocarcinoma (PDAC), with the Phase 2b VIRAGE trial having enrolled 92 patients and FDA end-of-Phase 2 meeting completed in March 2026. The company has 15 employees after a 32% workforce reduction in September 2025 and is headquartered in Rockville, Maryland.</w:t>
      </w:r>
    </w:p>
    <w:p>
      <w:r>
        <w:rPr>
          <w:rFonts w:ascii="Calibri" w:hAnsi="Calibri"/>
          <w:b/>
          <w:color w:val="6E8450"/>
          <w:sz w:val="18"/>
        </w:rPr>
        <w:t>15 Employees · https://therivabio.com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Theriva has advanced VCN-01 through Phase 2b enrollment (92 patients in the VIRAGE trial) and completed an FDA end-of-Phase 2 meeting in March 2026 to discuss Phase 3 trial design for metastatic pancreatic cancer [3]. The VIRAGE2 repeat-dosing trial received Spanish regulatory approval and dosed its first patient in July 2026 [1]. However, the company remains pre-commercial after years of development, cut its workforce by 32% in September 2025, and has no approved products or meaningful revenue [4]. AI Deployment (0/2): No evidence of AI deployment in drug discovery, clinical operations, or any other function. The company's oncolytic virus platform is developed through traditional biological research and clinical trial methodology. Market Share (0/2): Theriva has no approved products, no commercial revenue, and holds no market share in any therapeutic category. The oncolytic virus space is crowded with competitors including Amgen's T-VEC and multiple clinical-stage programs from better-funded companies. Product Pipeline (1/2): VCN-01 has specific clinical milestones — Phase 3 design discussed with FDA, VIRAGE2 repeat-dosing trial initiated — plus SYN-004 in Phase 1b/2a for aGVHD prevention and SYN-020 for gastrointestinal indications [3][5]. However, timelines for Phase 3 initiation and potential approval remain uncertain given financial constraints. R&amp;D Intensity (0/1): With only 15 employees after the 32% workforce cut and $25.7M in annual losses, R&amp;D capacity is severely constrained relative to the breadth of the pipeline [4][5].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Theriva describes itself as developing therapeutics to treat cancer and related diseases in areas of high unmet need — a generic biotech mission statement interchangeable with hundreds of clinical-stage companies [5]. While pancreatic cancer represents genuine unmet need (5-year survival rate ~12%), the mission language does not differentiate Theriva or articulate a deeper purpose. Community Impact (0/2): No evidence of charitable programs, foundation activity, or community investment from a 15-person pre-revenue clinical-stage company. Employee Retention (0/2): The company cut 32% of its workforce in September 2025, reducing headcount to 15 employees [4]. This is the opposite of a retention-positive signal and suggests organizational instability incompatible with mission-driven retention. Insider Buying (0/2): No evidence of meaningful insider buying by CEO Shallcross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(532,442) x stock_price ($0.22) = $116,816 daily dollar volume, which is below the $1,000,000 minimum threshold. Infrastructure score is automatically set to 0 regardless of other metrics [HARD RULE]. For reference, underlying financials are severely distressed: D/E of 29.2%, ROE of -101.9% (deeply unprofitable), profit margin of 0.0% (no revenue), forward P/E of -1.1 (negative earnings expected), trailing revenue of $300K (essentially pre-commercial), and $11.3M in cash against $12.7M annual operating cash burn [2][5]. The company's cash position may fund operations through mid-2027 at the current burn rate, but further capital raises will be required.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Theriva Biologics operates in pure survival mode — a 15-person pre-revenue clinical-stage company that cut 32% of its workforce in 2025 while burning $12.7M annually in cash. The company exists to advance VCN-01 through clinical trials, which is a worthy scientific pursuit, but it lacks the organizational stability, leadership continuity, strategic flexibility, or articulated cause that Sinek's framework demands. Every decision is driven by cash runway and trial timelines rather than long-term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Theriva's purpose of treating cancer in areas of high unmet need is inherently worthwhile but is expressed in generic boilerplate language indistinguishable from hundreds of clinical-stage biotech companies [5]. Pancreatic cancer has a devastating ~12% five-year survival rate, creating genuine urgency, but the company does not articulate a vision of a better future beyond the standard 'develop and commercialize novel therapies' framework. The mission does not shape strategic decisions — those are driven by cash constraints and trial readouts.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32% workforce reduction in September 2025 is a clear signal of organizational instability that directly undermines psychological safety [4]. With only 15 remaining employees in a company burning $12.7M annually, every team member operates under existential uncertainty about the company's survival. This environment is antithetical to Sinek's Circle of Safety. No evidence of empowerment culture, long tenure, or trust-building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motivation for self-improvement. The company's competitive positioning focuses on VCN-01's unique mechanism (oncolytic adenovirus degrading tumor stroma) without reference to learning from rivals in the oncolytic virus or pancreatic cancer therapy space.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Theriva has maintained a singular focus on its oncolytic virus platform (VCN-01) and microbiome-based therapeutics (SYN-004, SYN-020) without evidence of strategic pivoting or business model evolution [3][5]. The company lacks the resources for transformative flexibility with only 15 employees and $11.3M in cash. Licensing SYN-020 to Rasayana is a financial necessity, not a cause-driven strategic choice.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Shallcross continues to advance VCN-01 clinical trials despite severe financial constraints, which demonstrates persistence. However, the 32% workforce cut, declining cash position, and absence of any investments that sacrifice short-term performance for long-term capability suggest survival management rather than courageous leadership [4][5]. No examples of the company making costly strategic bets or walking away from revenue in service of a larger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Theriva at $0.22 with a $10M market cap is a micro-cap clinical-stage bet on VCN-01, an oncolytic adenovirus targeting metastatic pancreatic cancer — one of the deadliest cancers with ~12% five-year survival and limited treatment options [3]. The Phase 2b VIRAGE trial enrolled 92 patients, the FDA end-of-Phase 2 meeting was completed in March 2026, and the VIRAGE2 repeat-dosing trial dosed its first patient in July 2026, potentially supporting a Phase 3 design [1][3]. With $11.3M in cash and a pipeline including SYN-004 for aGVHD prevention, a positive VIRAGE readout could create asymmetric upside from the current depressed valuation.</w:t>
      </w:r>
    </w:p>
    <w:p>
      <w:pPr>
        <w:spacing w:after="120"/>
      </w:pPr>
      <w:r>
        <w:rPr>
          <w:rFonts w:ascii="Calibri" w:hAnsi="Calibri"/>
          <w:b w:val="0"/>
          <w:color w:val="3A4A28"/>
          <w:sz w:val="20"/>
        </w:rPr>
        <w:t>The bear case is existential. Theriva has no approved products, no meaningful revenue ($300K trailing), burns $12.7M annually in operating cash, and cut 32% of its workforce in September 2025, leaving only 15 employees [4][5]. The $11.3M cash position provides roughly 10 months of runway at the current burn rate, virtually guaranteeing additional dilutive capital raises that will further erode the share price from its current $0.22 penny-stock level. Average daily dollar volume of just $117K makes the stock effectively untradeable for institutional investors. The oncolytic virus space is competitive, with Amgen's T-VEC and multiple clinical-stage programs from better-funded competitors, and pancreatic cancer trials have a notoriously high failure rate. Forward EPS of -$0.20 against a $0.22 stock price implies the market expects continued deep losses with no near-term path to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VIRAGE Phase 2b data readout — top-line results from the 92-patient trial of VCN-01 plus gemcitabine/nab-paclitaxel in first-line pancreatic cancer could demonstrate survival benefit and support Phase 3 initiation [3]</w:t>
      </w:r>
    </w:p>
    <w:p>
      <w:pPr>
        <w:spacing w:before="40" w:after="40"/>
        <w:ind w:left="283"/>
      </w:pPr>
      <w:r>
        <w:rPr>
          <w:rFonts w:ascii="Calibri" w:hAnsi="Calibri"/>
          <w:b/>
          <w:color w:val="4A6B25"/>
          <w:sz w:val="20"/>
        </w:rPr>
        <w:t xml:space="preserve">2. </w:t>
      </w:r>
      <w:r>
        <w:rPr>
          <w:rFonts w:ascii="Calibri" w:hAnsi="Calibri"/>
          <w:b w:val="0"/>
          <w:color w:val="3A4A28"/>
          <w:sz w:val="20"/>
        </w:rPr>
        <w:t>VIRAGE2 repeat-dosing data — Phase 2a trial exploring more frequent VCN-01 dosing could unlock improved efficacy and expand combination opportunities with immuno-oncology agents and RAS inhibitors [1]</w:t>
      </w:r>
    </w:p>
    <w:p>
      <w:pPr>
        <w:spacing w:before="40" w:after="40"/>
        <w:ind w:left="283"/>
      </w:pPr>
      <w:r>
        <w:rPr>
          <w:rFonts w:ascii="Calibri" w:hAnsi="Calibri"/>
          <w:b/>
          <w:color w:val="4A6B25"/>
          <w:sz w:val="20"/>
        </w:rPr>
        <w:t xml:space="preserve">3. </w:t>
      </w:r>
      <w:r>
        <w:rPr>
          <w:rFonts w:ascii="Calibri" w:hAnsi="Calibri"/>
          <w:b w:val="0"/>
          <w:color w:val="3A4A28"/>
          <w:sz w:val="20"/>
        </w:rPr>
        <w:t>Partnership or licensing deal — positive clinical data could attract a pharma partner willing to fund Phase 3 development, providing non-dilutive capital and validation of the VCN-01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exhaustion — $11.3M cash against $12.7M annual operating burn provides approximately 10 months of runway, making additional dilutive capital raises near-certain in the next 6-12 months [4][5]</w:t>
      </w:r>
    </w:p>
    <w:p>
      <w:pPr>
        <w:spacing w:before="40" w:after="40"/>
        <w:ind w:left="283"/>
      </w:pPr>
      <w:r>
        <w:rPr>
          <w:rFonts w:ascii="Calibri" w:hAnsi="Calibri"/>
          <w:b/>
          <w:color w:val="4A6B25"/>
          <w:sz w:val="20"/>
        </w:rPr>
        <w:t xml:space="preserve">2. </w:t>
      </w:r>
      <w:r>
        <w:rPr>
          <w:rFonts w:ascii="Calibri" w:hAnsi="Calibri"/>
          <w:b w:val="0"/>
          <w:color w:val="3A4A28"/>
          <w:sz w:val="20"/>
        </w:rPr>
        <w:t>Clinical trial failure risk — pancreatic cancer trials have historically high failure rates, and VCN-01's oncolytic virus mechanism faces significant biological uncertainty in a Phase 3 setting against standard-of-care chemotherapy [3]</w:t>
      </w:r>
    </w:p>
    <w:p>
      <w:pPr>
        <w:spacing w:before="40" w:after="40"/>
        <w:ind w:left="283"/>
      </w:pPr>
      <w:r>
        <w:rPr>
          <w:rFonts w:ascii="Calibri" w:hAnsi="Calibri"/>
          <w:b/>
          <w:color w:val="4A6B25"/>
          <w:sz w:val="20"/>
        </w:rPr>
        <w:t xml:space="preserve">3. </w:t>
      </w:r>
      <w:r>
        <w:rPr>
          <w:rFonts w:ascii="Calibri" w:hAnsi="Calibri"/>
          <w:b w:val="0"/>
          <w:color w:val="3A4A28"/>
          <w:sz w:val="20"/>
        </w:rPr>
        <w:t>Penny stock illiquidity — daily dollar volume of $117K is far below the $1M IOWN liquidity threshold, making meaningful position entry or exit effectively impossible without significant market impact [HARD RULE]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Theriva's core business — developing oncolytic virus therapies for cancer — involves biological engineering, physical clinical trials, FDA regulatory approval processes, and drug manufacturing that AI structurally cannot replicate or substitute [3]. You cannot replace a tumor-targeting adenovirus with a software algorithm. Clinical trials require physical patient enrollment, dosing, and monitoring across regulated facilities. However, AI is accelerating drug discovery for better-funded competitors, potentially compressing the competitive window for Theriva's pipeline candidates. AI-driven target identification and clinical trial optimization by larger pharma companies could reduce whatever first-mover advantage VCN-01 holds in the oncolytic virus space. Scores 6 rather than 7+ because the company's pre-revenue status means AI competitive pressure is more immediately relevant than it would be for an established pharma company with marketed products. AI Opportunity (0/1): No evidence of AI deployment in Theriva's drug discovery, clinical operations, or any other function. No AI-driven revenue or cost savings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Theriva Q2 2026 Operational Highlights — VIRAGE2 First Patient Dosed, Repeat-Dosing Trial Initiated, Spanish Regulatory Approval — SanteLog/1stOncology, August 2026</w:t>
      </w:r>
    </w:p>
    <w:p>
      <w:pPr>
        <w:spacing w:before="20" w:after="20"/>
        <w:ind w:left="170"/>
      </w:pPr>
      <w:r>
        <w:rPr>
          <w:rFonts w:ascii="Calibri" w:hAnsi="Calibri"/>
          <w:b/>
          <w:color w:val="4A6B25"/>
          <w:sz w:val="15"/>
        </w:rPr>
        <w:t xml:space="preserve">2. </w:t>
      </w:r>
      <w:r>
        <w:rPr>
          <w:rFonts w:ascii="Calibri" w:hAnsi="Calibri"/>
          <w:b w:val="0"/>
          <w:color w:val="3A4A28"/>
          <w:sz w:val="17"/>
        </w:rPr>
        <w:t>Theriva Q1 2026 Earnings — Loss per Share -$0.05, No Revenue Reported — Aggregator Reports, May 2026</w:t>
      </w:r>
    </w:p>
    <w:p>
      <w:pPr>
        <w:spacing w:before="20" w:after="20"/>
        <w:ind w:left="170"/>
      </w:pPr>
      <w:r>
        <w:rPr>
          <w:rFonts w:ascii="Calibri" w:hAnsi="Calibri"/>
          <w:b/>
          <w:color w:val="4A6B25"/>
          <w:sz w:val="15"/>
        </w:rPr>
        <w:t xml:space="preserve">3. </w:t>
      </w:r>
      <w:r>
        <w:rPr>
          <w:rFonts w:ascii="Calibri" w:hAnsi="Calibri"/>
          <w:b w:val="0"/>
          <w:color w:val="3A4A28"/>
          <w:sz w:val="17"/>
        </w:rPr>
        <w:t>Theriva Pipeline Updates — VCN-01 Phase 2b VIRAGE Enrollment Complete (92 Patients), FDA End-of-Phase 2 Meeting March 2026 — MarketScreener/Moomoo, 2026</w:t>
      </w:r>
    </w:p>
    <w:p>
      <w:pPr>
        <w:spacing w:before="20" w:after="20"/>
        <w:ind w:left="170"/>
      </w:pPr>
      <w:r>
        <w:rPr>
          <w:rFonts w:ascii="Calibri" w:hAnsi="Calibri"/>
          <w:b/>
          <w:color w:val="4A6B25"/>
          <w:sz w:val="15"/>
        </w:rPr>
        <w:t xml:space="preserve">4. </w:t>
      </w:r>
      <w:r>
        <w:rPr>
          <w:rFonts w:ascii="Calibri" w:hAnsi="Calibri"/>
          <w:b w:val="0"/>
          <w:color w:val="3A4A28"/>
          <w:sz w:val="17"/>
        </w:rPr>
        <w:t>Theriva Restructuring — 32% Workforce Reduction, Operational Realignment — Barchart, September 2025</w:t>
      </w:r>
    </w:p>
    <w:p>
      <w:pPr>
        <w:spacing w:before="20" w:after="20"/>
        <w:ind w:left="170"/>
      </w:pPr>
      <w:r>
        <w:rPr>
          <w:rFonts w:ascii="Calibri" w:hAnsi="Calibri"/>
          <w:b/>
          <w:color w:val="4A6B25"/>
          <w:sz w:val="15"/>
        </w:rPr>
        <w:t xml:space="preserve">5. </w:t>
      </w:r>
      <w:r>
        <w:rPr>
          <w:rFonts w:ascii="Calibri" w:hAnsi="Calibri"/>
          <w:b w:val="0"/>
          <w:color w:val="3A4A28"/>
          <w:sz w:val="17"/>
        </w:rPr>
        <w:t>Theriva FY2024 10-K — Net Loss $25.7M, Cash Position Declining, Pipeline Overview — SEC/Moomoo,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