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TPH</w:t>
      </w:r>
      <w:r>
        <w:rPr>
          <w:rFonts w:ascii="Calibri" w:hAnsi="Calibri"/>
          <w:b/>
          <w:color w:val="1A2010"/>
          <w:sz w:val="40"/>
        </w:rPr>
        <w:t xml:space="preserve">  Tri Pointe Homes,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2026-09-09 · Inspire: 65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Residential Construction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Tri Pointe Homes is one of the largest homebuilders in the United States, designing, constructing, and selling single-family homes in 12 states and the District of Columbia through regional brands including Tri Pointe Homes, Maracay, and Pardee Homes. The company is now a wholly-owned subsidiary of Sumitomo Forestry Co., Ltd., following the $47.00/share ($4.5B) acquisition that closed May 14, 2026, and no longer trades publicly on the NYSE [3]. Prior to the acquisition, Tri Pointe was recognized three times as a Fortune 100 Best Companies to Work For (including 2026) and twice as a Fortune Most Admired Company. Q2 2026 results showed home sales revenue of $685.1M (-22.1% YoY) with a net loss of $157.7M including $196.8M in Sumitomo transaction charges [2]. Headquartered in Incline Village, Nevada.</w:t>
      </w:r>
    </w:p>
    <w:p>
      <w:r>
        <w:rPr>
          <w:rFonts w:ascii="Calibri" w:hAnsi="Calibri"/>
          <w:b/>
          <w:color w:val="6E8450"/>
          <w:sz w:val="18"/>
        </w:rPr>
        <w:t>1,579 Employees · https://www.tripointehomes.com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Tri Pointe expanded geographically from West Coast roots into 12 states and DC, adding Central (Texas, Colorado, Utah) and East (Carolinas, Florida, DC Metro) regions [1]. However, this represents geographic scaling of an existing homebuilding model rather than product innovation. No transformative business model pivots occurred; the Sumitomo acquisition validates the platform but was externally driven. AI Deployment (0/2): No evidence of AI-powered products or quantified AI-driven operational improvements. Chief Innovation Officer Urmila Menon (appointed June 2024) has focused on ERP system integration and data centralization — necessary infrastructure but not AI deployment [4]. Market Share (1/2): Tri Pointe is among the larger U.S. homebuilders by revenue ($3.2B+ annually), recognized by Fortune as a Most Admired Company. However, the company competes against much larger national builders (D.R. Horton, Lennar, NVR, Toll Brothers) and does not hold category leadership in any geography [1]. Product Pipeline (1/2): The 10-15% community count growth planned for 2026, first Utah communities, and LivingSmart sustainability platform provide near-term growth vectors, but these are standard homebuilder expansion rather than product innovation. R&amp;D Intensity (0/1): Homebuilding is not R&amp;D-intensive; Tri Pointe invests in design and customer experience but not in technology research that differentiates from peers.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Tri Pointe's people-first culture is specific, differentiated, and validated by three-time Fortune 100 Best Companies to Work For recognition — a rare distinction in the high-turnover homebuilding industry [5]. The culture emphasizes empowering local teams within a national platform, combining national resources with regional autonomy. One search result noted 94% of employees say it's a great place to work. The culture IS the competitive advantage, though it has not been tested through multi-decade crisis validation, and the Sumitomo acquisition introduces uncertainty about cultural preservation. Community Impact (1/2): LivingSmart sustainability program incorporates energy-efficient design and environmentally responsible construction practices. Sustainalytics rates ESG risk management as average. No standout quantified charitable or community impact program identified [4]. Employee Retention (2/2): Three-time Fortune 100 Best Companies to Work For (including 2026), 94% great-place-to-work rating, Emerging Leader programs, personalized development plans, and one-on-one coaching represent exceptional employee engagement for a homebuilder [5]. These metrics provide strong evidence of above-average retention in an industry notorious for labor challenges. Insider Buying (0/2): No insider buying data identified; the Sumitomo acquisition restricted insider trading during the merger process.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growth metrics using pre-acquisition financials. The balance sheet is a standout: D/E of 38%, homebuilding debt-to-capital of 21.7%, and total liquidity of $1.7B (including $847.9M cash) provide exceptional financial flexibility — scoring maximum on leverage [1][3]. However, profitability has compressed significantly in the housing cycle downturn: ROE of 5.55% and profit margin of 5.65% are well below targets, and Q2 2026 showed a $157.7M net loss including $196.8M in Sumitomo transaction charges [2]. Revenue declined sharply — Q1 2026 was down 29.8% and Q2 down 22.1% YoY, reflecting both the housing downturn and pre-acquisition transition effects. Forward P/E of 25.59 reflected the acquisition premium rather than underlying earnings power. PEG of 1.97 (below the 3.0 floor) was the lone valuation bright spot with 2x weight [3]. Since the May 14, 2026 acquisition close, the stock is no longer publicly traded and these metrics are frozen at pre-acquisition levels.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Tri Pointe Homes demonstrated a genuinely mixed-to-infinite mindset during its public company years, distinguished from peers by exceptional people-first culture (Fortune 100 Best three times, 94% GPTW rating) and commitment to quality over volume. The company played to keep playing rather than to win market share at any cost — investing in employee development and customer experience when competitors optimized purely for volume [5]. However, the Sumitomo Forestry acquisition at $47/share during a cyclical trough represents a transition that Sinek might view as an ending — the board chose shareholder value realization over continued independent play. The cultural legacy's survival within Sumitomo remains uncertain.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Tri Pointe's purpose centered on creating extraordinary homebuying experiences through a people-first culture is genuine and lived — validated by three-time Fortune 100 Best Companies recognition and 94% great-place-to-work ratings [5]. The culture served as the company's competitive advantage: employees consistently cited purpose and development as reasons to stay in an industry with chronic labor challenges. Specific programs (Emerging Leader, career pathing, one-on-one coaching) demonstrate leadership connected the company's work to something bigger than quarterly earnings. However, the board's decision to sell for $47/share during a cyclical trough raises questions about purpose durability — if the cause was truly transcendent, would the board have accepted the acquisition [3]?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Tri Pointe's culture is the standout dimension. Three-time Fortune 100 Best Companies recognition validates exceptional organizational trust and psychological safety in an industry notorious for high turnover and labor challenges [5]. The 94% great-place-to-work rating, combined with Emerging Leader programs, personalized development plans, and one-on-one coaching, demonstrates a Circle of Safety that Sinek would praise. The company's model of empowering regional teams within a national platform shows trust in local leadership. The Sumitomo acquisition introduces uncertainty about whether this culture survives the transition to Japanese parent company ownership and potential restructuring.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Tri Pointe's competitive positioning emphasized quality and culture differentiation over volume competition with D.R. Horton, Lennar, and Toll Brothers — 'not trying to be the biggest, trying to be the best' reflects an infinite-game competitive ethos [5]. The Fortune Most Admired Companies recognition (based on peer evaluations) suggests industry respect. However, accepting the Sumitomo acquisition implicitly acknowledges competitive limitations — the company could not compete effectively at national scale independently, and the cyclical downturn (Q1 revenue -29.8%) exposed the vulnerability of a mid-size builder during challenging markets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Tri Pointe evolved from its 2009 founding as a West Coast builder to a national platform across 12 states through the 2014 TRI Pointe/WRECO merger and systematic geographic expansion [1]. This represents genuine strategic evolution. However, the company remained a single-industry residential construction business throughout, and the Sumitomo acquisition effectively ends the independent strategic journey — the company's future evolution will be directed by its Japanese parent rather than by an independent leadership team pursuing a purpose-driven vision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Tri Pointe's leadership demonstrated courage in investing heavily in culture, employee development, and customer experience — investments that many competitors forgo in favor of short-term cost optimization [5]. Maintaining people-first culture through the housing cycle downturn (Q1 2026 revenue -29.8%) without mass layoffs showed willingness to choose long-term capability over immediate cost savings. However, the board's decision to accept Sumitomo's $47/share offer during a cyclical trough — when normalized earnings power may be significantly higher — prioritized near-term shareholder value over long-term independence, which Sinek would not classify as courageous [3][2].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Tri Pointe Homes was acquired by Sumitomo Forestry Co., Ltd. for $47.00/share in cash on May 14, 2026, and is no longer publicly traded [3]. This IOWN assessment evaluates the underlying business based on the last available financial data. The company's distinctive competitive advantage — a people-first culture validated by three-time Fortune 100 Best Companies recognition and 94% GPTW rating — is genuinely rare in homebuilding and drove premium customer experiences across 12 states [5]. The fortress balance sheet (38% D/E, $1.7B liquidity) and LivingSmart sustainability platform positioned the company well for the long term. The Inspire Impact Score of +65 (ALIGNED) — with zero negative attributions and 14 positive ESG dimensions — made TPH among the most faith-aligned homebuilders available. Sumitomo's $4.5B acquisition validates the platform's strategic value, particularly the geographic expansion into high-growth Central and East regions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Since the acquisition closed, the stock is uninvestable — shareholders received $47.00 in cash and the NYSE listing was terminated [3]. The key question for the IOWN framework is whether the Sumitomo acquisition was a fair outcome for a business of this quality. Q1 2026 revenue declined 29.8% to $507.9M and Q2 2026 showed a net loss of $157.7M (including $196.8M in Sumitomo transaction charges), reflecting both the housing cycle downturn and acquisition-related distortions [1][2]. At $47/share and a PE of 22.24x trough earnings, the acquisition price was arguably fair for a cyclical homebuilder in a downturn but may have undervalued the normalized earnings power and cultural franchise. ROE of 5.55% and profit margin of 5.65% at the time of acquisition were well below the company's mid-cycle capability. The homebuilding industry's physical nature and AI immunity (score 9/10) suggest the underlying business retains significant long-term value under Sumitomo's ownership, though cultural preservation within a Japanese corporate parent remains an open question.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Under Sumitomo Forestry ownership, Tri Pointe's national platform may benefit from the parent's timber supply chain, global construction expertise, and expanded capital for land acquisition during the housing downturn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Community count growth of 10-15% in 2026 in high-growth Central (Texas, Colorado, Utah) and East (Carolinas, Florida) regions builds long-term asset value for the combined entity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Three-time Fortune 100 Best Companies culture continues attracting construction and design talent during an industry labor shortage, providing competitive advantage under any ownership structure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Housing cycle downturn persists with Q1 2026 revenue down 29.8% and Q2 showing a net loss of $157.7M; elevated mortgage rates and cautious consumer sentiment could further depress volumes and margins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Cultural integration risk as Sumitomo Forestry absorbs Tri Pointe's people-first, Fortune-recognized culture into a Japanese corporate parent — the culture IS the competitive advantage, and its dilution would erode franchise value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Q2 2026 included $196.8M in transaction charges and $19.7M in inventory impairments beyond transaction effects, suggesting potential asset quality issues in certain markets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(9/9): Homebuilding is among the most AI-immune industries in existence. Tri Pointe's core business requires physical land acquisition, physical permitting processes, physical construction labor, physical building materials, and physical home inspections — none of which AI can replace or meaningfully disrupt [1]. A home cannot be 3D-printed at scale or virtually delivered. The company's 1,579 employees manage complex local construction operations across 12 states that require on-the-ground presence, local regulatory knowledge, and physical site management. The industry's binding constraints are labor availability, land costs, regulatory approvals, and interest rates — none of which are AI-disrupted. AI-driven economic growth and wealth creation would increase housing demand, making AI a tailwind rather than a headwind. AI Opportunity (0/1): No evidence of AI-driven revenue or AI-powered products. CIO Urmila Menon's ERP and data centralization efforts are IT modernization, not AI commercialization [4]. Some potential for AI in design visualization, land analytics, and customer experience, but nothing quantified or material.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65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Tri Pointe Homes Q1 2026 Earnings — Revenue $521.4M (-29.8% YoY), EPS $0.08, net income $6.79M, GlobeNewswire,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Tri Pointe Homes Q2 2026 Earnings — Revenue $685.1M (-22.1%), net loss $157.7M including $196.8M Sumitomo transaction charges, $19.7M inventory impairments, GlobeNewswire/StockTitan,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Sumitomo Forestry Acquisition — $47.00/share cash ($4.5B), closed May 14, 2026, TPH delisted from NYSE, PR Newswire/GuruFocus,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Tri Pointe Homes CIO Urmila Menon and ESG — ERP data centralization, LivingSmart sustainability program, Sustainalytics average ESG risk rating, HousingWire,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Tri Pointe Homes Fortune 100 Best Companies to Work For — Three-time recognition including 2026, 94% GPTW rating, Emerging Leader programs, Fortune/GlobeNewswire, 2024-2026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