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TRIN</w:t>
      </w:r>
      <w:r>
        <w:rPr>
          <w:rFonts w:ascii="Calibri" w:hAnsi="Calibri"/>
          <w:b/>
          <w:color w:val="1A2010"/>
          <w:sz w:val="40"/>
        </w:rPr>
        <w:t xml:space="preserve">  Trinity Capital Inc.</w:t>
      </w:r>
    </w:p>
    <w:p>
      <w:pPr>
        <w:spacing w:after="120"/>
      </w:pPr>
      <w:r>
        <w:rPr>
          <w:rFonts w:ascii="Calibri" w:hAnsi="Calibri"/>
          <w:b/>
          <w:color w:val="6E8450"/>
          <w:sz w:val="18"/>
        </w:rPr>
        <w:t>DIVIDEND SLEEVE · 2026-09-21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Trinity Capital Inc. is an internally managed business development company (BDC) that provides debt financing, including term loans, equipment financing, and asset-based lending, to growth-stage companies across five verticals: Sponsor Finance, Equipment Finance, Tech Lending, Asset-Based Lending, and Life Sciences. Founded in 2008, IPO'd in 2021, headquartered in Phoenix, Arizona. The company has deployed $6.2B across 490 investments since inception and recently expanded to Europe with a London-based managing director. Forbes spotlighted Trinity for excelling in company culture and employee benefits.</w:t>
      </w:r>
    </w:p>
    <w:p>
      <w:r>
        <w:rPr>
          <w:rFonts w:ascii="Calibri" w:hAnsi="Calibri"/>
          <w:b/>
          <w:color w:val="6E8450"/>
          <w:sz w:val="18"/>
        </w:rPr>
        <w:t>113 Employees · https://www.trinitycapital.com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Trinity has expanded from its original venture lending focus into five distinct lending verticals since its 2021 IPO — Sponsor Finance, Equipment Finance, Tech Lending, Asset-Based Lending, and Life Sciences — diversifying revenue streams and addressable market [1]. Full-year 2025 revenue reached $279.5M (up 23.3% YoY) with earnings of $135.6M (up 17.3%), and $6.2B has been deployed across 490 investments since inception [1][2]. However, this is incremental business line expansion, not transformative innovation. AI Deployment (1/2): Trinity provided $15M in growth capital to TQA to scale intelligent automation and AI offerings, and the company actively lends to AI-focused portfolio companies [2]. Key growth themes include AI, robotics, reshoring-driven CapEx, data centers, and energy — indicating strategic positioning around AI-adjacent sectors [3]. Some internal technology deployment for underwriting, though no quantified efficiency gains reported. Market Share (1/2): Trinity is a growing but still mid-sized BDC in a market dominated by larger players like Ares Capital ($30B+ portfolio) and Blue Owl. Total investments of $6.2B across 490 companies demonstrate meaningful scale but not market leadership [1]. Product Pipeline (1/2): Strategic European expansion via appointment of London-based Craig Fox as Managing Director provides geographic growth runway and access to international growth-stage companies [2]. R&amp;D Intensity (0/1): BDCs do not have traditional R&amp;D programs — capital is deployed into portfolio investments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Trinity's stated purpose is to 'deliver consistent returns for investors through access to private credit markets' [3]. This is a functional financial services mission that describes a business activity, not a purpose worth sacrificing for — interchangeable with any BDC or private credit fund. Community Impact (1/2): Trinity's portfolio companies include Forbes America's Best Startup Employers like Axiom Space, Athletic Brewing, and Electric Hydrogen [2]. The company enables job creation and innovation through growth-stage lending, providing diversified financial solutions with what it describes as 'uncommon care for people and partners.' Employee Retention (2/2): Forbes spotlighted Trinity Capital for excelling in nurturing company culture and offering exceptional employee benefits [3]. The CEO transition from Steve Brown (now Executive Chairman) to Kyle Brown as CEO (effective January 2024) was orderly and reflected organizational continuity. The origination team has been actively expanded, suggesting growth momentum rather than attrition. Insider Buying (1/2): Management alignment through equity compensation is standard for BDCs; the Brown family's continued involvement across CEO and Executive Chairman roles demonstrates long-term personal commitment to the company's success.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D/E of 118.88% scores 0.79, reasonable leverage for a BDC operating within regulatory limits [5]. ROE of 12.91% scores 0.86, solid for the BDC sector [5]. Revenue growth YoY of 19.3% scores 1.0, demonstrating strong origination momentum [1]. Revenue growth 5yr CAGR of approximately 35% scores 1.0, reflecting rapid scaling since the 2021 IPO [1]. Forward P/E of 8.37 scores 1.0, a compelling valuation for a high-yield BDC [5]. Profit margin of 45.15% scores 1.0, exceptional for the financial services sector [5]. Payout ratio of 127.01% scores 0.0, above the 100% GAAP floor — though BDCs must distribute 90%+ of taxable income and the distribution is covered by net investment income (NII) even when GAAP earnings include unrealized losses [4]. Consecutive years paid of 5 scores 0.50 (2x weight), reflecting the company's post-IPO dividend track record. Consecutive years growth of 5 scores 0.50, with approximately 25 consecutive quarters of maintained or increased dividends. 5yr dividend growth CAGR of approximately 10% scores 1.0 (2x weight), significantly above the 6% target [1]. Weighted sum 9.15/12, Infrastructure 8/10. Liquidity floor cleared: 1.03M avg volume x $17.63 = $18.1M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Trinity Capital displays mixed infinite game characteristics. The company has grown rapidly since its 2021 IPO by diversifying into five lending verticals and expanding internationally, showing strategic ambition beyond quarter-to-quarter performance. The orderly CEO transition from Steve to Kyle Brown reflects organizational maturity, and the Forbes recognition for company culture suggests genuine investment in people. However, the company is still young (5 years public), its purpose is fundamentally about generating investor returns, and it has not yet been tested through a full credit cycle to prove long-term resilience.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Trinity Capital's purpose — delivering consistent investor returns through private credit access — is a legitimate business objective but not a Just Cause in Sinek's framework [3]. It does not describe a future state worth sacrificing for, nor does it inspire beyond financial performance. The company enables growth-stage companies to scale, which has indirect social value through job creation and innovation, but this is not articulated as the driving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Steve Brown to Kyle Brown (effective January 2024) was orderly, with Steve remaining as Executive Chairman — suggesting collaborative succession rather than conflict [2]. Forbes spotlighted Trinity for excelling in company culture and employee benefits, indicating genuine investment in workplace quality [3]. The origination team has been actively expanded. However, Trinity is still a relatively small organization (~113 employees), making cultural assessment limited, and no specific tenure or turnover data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Trinity competes in the BDC space alongside much larger players like Ares Capital and Blue Owl, and management's strategy focuses on building differentiated capabilities in growth-stage lending rather than directly competing for market share against larger incumbents [1][2]. The five-vertical diversification and European expansion reflect learning from rivals' scale advantages and finding underserved niches where Trinity can win on specialization.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Trinity has meaningfully evolved its business model since IPO, expanding from a pure venture lending BDC to a multi-vertical platform spanning Sponsor Finance, Equipment Finance, Tech Lending, Asset-Based Lending, and Life Sciences, with international expansion into Europe [1][2]. These are significant strategic evolutions for a five-year-old public company, though the core business of originating and managing private credit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Trinity's decision to expand into five lending verticals and enter the European market while still a mid-sized BDC demonstrates willingness to invest in growth over short-term earnings optimization [2]. The company has deployed $6.2B across 490 investments since inception, maintaining conviction in underwriting quality during periods of market uncertainty [1]. However, the BDC model's structural requirement to distribute 90%+ of income limits the ability to build strategic reserves, and GAAP earnings declined 22% YoY even as revenue grew 19.3%.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Trinity Capital offers a compelling 11.57% dividend yield at just 8.37x forward P/E, backed by 19.3% revenue growth and a diversified five-vertical lending platform that has deployed $6.2B across 490 investments since inception [1][5]. FY2025 delivered $279.5M revenue (up 23.3% YoY) and $135.6M earnings (up 17.3%), and approximately 25 consecutive quarters of maintained or increased dividends demonstrate distribution reliability [1]. The 5-year dividend growth CAGR of ~10% significantly exceeds inflation. ROE of 12.91% and profit margin of 45.15% are strong for the BDC sector. Key growth themes in AI, robotics, reshoring, and data centers position Trinity's tech lending vertical to capture increasing demand for growth-stage financing. The Inspire score of 34 (ALIGNED) with 7 positive attributions makes Trinity suitable for faith-based portfolios, and Forbes recognition for company culture suggests organizational quality [3].</w:t>
      </w:r>
    </w:p>
    <w:p>
      <w:pPr>
        <w:spacing w:after="120"/>
      </w:pPr>
      <w:r>
        <w:rPr>
          <w:rFonts w:ascii="Calibri" w:hAnsi="Calibri"/>
          <w:b w:val="0"/>
          <w:color w:val="3A4A28"/>
          <w:sz w:val="20"/>
        </w:rPr>
        <w:t>The primary risk is credit quality through a full market cycle — Trinity has only been public since 2021 and has not been tested through a significant credit downturn, which is particularly relevant for a portfolio concentrated in growth-stage companies that are inherently higher-risk borrowers [1]. GAAP earnings declined 22% YoY even as revenue grew 19.3%, suggesting potential unrealized portfolio losses or credit deterioration [5]. The GAAP payout ratio of 127.01% exceeds 100% — while the distribution is covered by NII and structurally required for BDC tax status, this leaves minimal cushion for credit losses [4]. The PEG ratio of 5.14 reflects consensus expectations of earnings growth deceleration. At D/E of 118.88%, the company operates with leverage typical for BDCs but vulnerable to rising non-accruals if the startup/growth-stage lending environment deteriorates. Competition from larger, better-capitalized BDCs like Ares Capital could compress yields and limit Trinity's deal flow advantage. The small market cap (~$1.7B) and 113-person team create concentration risk in key personnel.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European expansion via London-based managing director creating new origination channels and geographic diversification of the portfolio beyond U.S. growth-stage companies [2]</w:t>
      </w:r>
    </w:p>
    <w:p>
      <w:pPr>
        <w:spacing w:before="40" w:after="40"/>
        <w:ind w:left="283"/>
      </w:pPr>
      <w:r>
        <w:rPr>
          <w:rFonts w:ascii="Calibri" w:hAnsi="Calibri"/>
          <w:b/>
          <w:color w:val="4A6B25"/>
          <w:sz w:val="20"/>
        </w:rPr>
        <w:t xml:space="preserve">2. </w:t>
      </w:r>
      <w:r>
        <w:rPr>
          <w:rFonts w:ascii="Calibri" w:hAnsi="Calibri"/>
          <w:b w:val="0"/>
          <w:color w:val="3A4A28"/>
          <w:sz w:val="20"/>
        </w:rPr>
        <w:t>AI sector lending growth as portfolio companies scale AI, robotics, and data center operations, with Trinity's tech lending vertical positioned to capture increasing demand for growth-stage financing [2][3]</w:t>
      </w:r>
    </w:p>
    <w:p>
      <w:pPr>
        <w:spacing w:before="40" w:after="40"/>
        <w:ind w:left="283"/>
      </w:pPr>
      <w:r>
        <w:rPr>
          <w:rFonts w:ascii="Calibri" w:hAnsi="Calibri"/>
          <w:b/>
          <w:color w:val="4A6B25"/>
          <w:sz w:val="20"/>
        </w:rPr>
        <w:t xml:space="preserve">3. </w:t>
      </w:r>
      <w:r>
        <w:rPr>
          <w:rFonts w:ascii="Calibri" w:hAnsi="Calibri"/>
          <w:b w:val="0"/>
          <w:color w:val="3A4A28"/>
          <w:sz w:val="20"/>
        </w:rPr>
        <w:t>Continued NAV growth and dividend sustainability — approximately 25 consecutive quarters of maintained or increased dividends at an 11.57% yield provides compelling income for dividend-focused investors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Untested through a full credit cycle — portfolio concentrated in growth-stage companies that are inherently higher risk; a recession could trigger elevated non-accruals, reduce NAV, and threaten the 11.57% dividend [1]</w:t>
      </w:r>
    </w:p>
    <w:p>
      <w:pPr>
        <w:spacing w:before="40" w:after="40"/>
        <w:ind w:left="283"/>
      </w:pPr>
      <w:r>
        <w:rPr>
          <w:rFonts w:ascii="Calibri" w:hAnsi="Calibri"/>
          <w:b/>
          <w:color w:val="4A6B25"/>
          <w:sz w:val="20"/>
        </w:rPr>
        <w:t xml:space="preserve">2. </w:t>
      </w:r>
      <w:r>
        <w:rPr>
          <w:rFonts w:ascii="Calibri" w:hAnsi="Calibri"/>
          <w:b w:val="0"/>
          <w:color w:val="3A4A28"/>
          <w:sz w:val="20"/>
        </w:rPr>
        <w:t>GAAP payout ratio of 127.01% and -22% earnings growth signal potential credit deterioration — while NII coverage remains adequate, sustained underperformance could force a dividend cut [4][5]</w:t>
      </w:r>
    </w:p>
    <w:p>
      <w:pPr>
        <w:spacing w:before="40" w:after="40"/>
        <w:ind w:left="283"/>
      </w:pPr>
      <w:r>
        <w:rPr>
          <w:rFonts w:ascii="Calibri" w:hAnsi="Calibri"/>
          <w:b/>
          <w:color w:val="4A6B25"/>
          <w:sz w:val="20"/>
        </w:rPr>
        <w:t xml:space="preserve">3. </w:t>
      </w:r>
      <w:r>
        <w:rPr>
          <w:rFonts w:ascii="Calibri" w:hAnsi="Calibri"/>
          <w:b w:val="0"/>
          <w:color w:val="3A4A28"/>
          <w:sz w:val="20"/>
        </w:rPr>
        <w:t>Small market cap (~$1.7B) and 113-person team create concentration risk in key personnel and limit institutional ownership; competition from much larger BDCs could compress lending yields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Trinity Capital's core business — originating growth-stage loans, managing borrower relationships, conducting due diligence, and structuring bespoke financing — requires human judgment, relationship networks, and sector expertise that AI cannot fully replicate [1]. BDC deal sourcing is relationship-intensive, and portfolio monitoring involves qualitative assessment of startup viability that resists pure algorithmic substitution. However, AI tools could automate portions of credit underwriting, financial modeling, and covenant monitoring, potentially commoditizing some analytical functions. The BDC industry is not a primary AI disruption target, but competitive advantages in analytical speed could shift toward AI-enabled firms. AI Opportunity (1/1): Trinity actively deploys capital into AI-related companies — including a $15M investment in TQA for AI and automation — and benefits from AI industry growth through increased lending demand from AI-focused portfolio companies [2]. Key growth themes explicitly include AI, robotics, and data centers, positioning Trinity as a direct financing beneficiary of the AI buildout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Trinity Capital FY2025 Results — Revenue $279.5M (up 23.3%), Earnings $135.6M (up 17.3%), $6.2B deployed across 490 investments since inception, SEC 8-K, February 2026</w:t>
      </w:r>
    </w:p>
    <w:p>
      <w:pPr>
        <w:spacing w:before="20" w:after="20"/>
        <w:ind w:left="170"/>
      </w:pPr>
      <w:r>
        <w:rPr>
          <w:rFonts w:ascii="Calibri" w:hAnsi="Calibri"/>
          <w:b/>
          <w:color w:val="4A6B25"/>
          <w:sz w:val="15"/>
        </w:rPr>
        <w:t xml:space="preserve">2. </w:t>
      </w:r>
      <w:r>
        <w:rPr>
          <w:rFonts w:ascii="Calibri" w:hAnsi="Calibri"/>
          <w:b w:val="0"/>
          <w:color w:val="3A4A28"/>
          <w:sz w:val="17"/>
        </w:rPr>
        <w:t>Trinity Capital Leadership, AI Lending, and European Expansion — CEO Kyle Brown (promoted Jan 2024), $15M TQA investment, London MD Craig Fox, PR Newswire, 2025-2026</w:t>
      </w:r>
    </w:p>
    <w:p>
      <w:pPr>
        <w:spacing w:before="20" w:after="20"/>
        <w:ind w:left="170"/>
      </w:pPr>
      <w:r>
        <w:rPr>
          <w:rFonts w:ascii="Calibri" w:hAnsi="Calibri"/>
          <w:b/>
          <w:color w:val="4A6B25"/>
          <w:sz w:val="15"/>
        </w:rPr>
        <w:t xml:space="preserve">3. </w:t>
      </w:r>
      <w:r>
        <w:rPr>
          <w:rFonts w:ascii="Calibri" w:hAnsi="Calibri"/>
          <w:b w:val="0"/>
          <w:color w:val="3A4A28"/>
          <w:sz w:val="17"/>
        </w:rPr>
        <w:t>Trinity Capital Company Profile — Forbes culture recognition, AI/robotics/data center growth themes, LinkedIn, Bitget, trinitycapital.com, 2026</w:t>
      </w:r>
    </w:p>
    <w:p>
      <w:pPr>
        <w:spacing w:before="20" w:after="20"/>
        <w:ind w:left="170"/>
      </w:pPr>
      <w:r>
        <w:rPr>
          <w:rFonts w:ascii="Calibri" w:hAnsi="Calibri"/>
          <w:b/>
          <w:color w:val="4A6B25"/>
          <w:sz w:val="15"/>
        </w:rPr>
        <w:t xml:space="preserve">4. </w:t>
      </w:r>
      <w:r>
        <w:rPr>
          <w:rFonts w:ascii="Calibri" w:hAnsi="Calibri"/>
          <w:b w:val="0"/>
          <w:color w:val="3A4A28"/>
          <w:sz w:val="17"/>
        </w:rPr>
        <w:t>Seeking Alpha — Trinity Capital BDC Income Analysis, Distribution Coverage, NII vs GAAP Earnings,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TRIN Key Statistics: Forward P/E 8.37x, PEG 5.14, ROE 12.91%, D/E 118.88%, Profit Margin 45.15%, Payout Ratio 127.01%, Stock Price $17.63,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