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TROX</w:t>
      </w:r>
      <w:r>
        <w:rPr>
          <w:rFonts w:ascii="Calibri" w:hAnsi="Calibri"/>
          <w:b/>
          <w:color w:val="1A2010"/>
          <w:sz w:val="40"/>
        </w:rPr>
        <w:t xml:space="preserve">  Tronox Holdings plc</w:t>
      </w:r>
    </w:p>
    <w:p>
      <w:pPr>
        <w:spacing w:after="120"/>
      </w:pPr>
      <w:r>
        <w:rPr>
          <w:rFonts w:ascii="Calibri" w:hAnsi="Calibri"/>
          <w:b/>
          <w:color w:val="6E8450"/>
          <w:sz w:val="18"/>
        </w:rPr>
        <w:t>DIVIDEND SLEEVE · 2026-08-30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Chemicals · NYSE · United Kingdom</w:t>
      </w:r>
    </w:p>
    <w:p>
      <w:pPr>
        <w:spacing w:after="80"/>
      </w:pPr>
      <w:r>
        <w:rPr>
          <w:rFonts w:ascii="Calibri" w:hAnsi="Calibri"/>
          <w:b w:val="0"/>
          <w:color w:val="3A4A28"/>
          <w:sz w:val="20"/>
        </w:rPr>
        <w:t>Tronox is one of the world's largest vertically integrated producers of titanium dioxide (TiO2) pigment, a critical whitening agent used in paints, coatings, plastics, and paper. The company also mines and processes titanium ore, zircon, and rare earth minerals across operations on six continents. Q2 2026 showed meaningful recovery with revenue of $868M (+19% YoY), though profitability remains pressured with 8.4% adjusted EBITDA margin. CEO John Romano (since April 2024) leads the $125-175M cost savings program. Emerged from bankruptcy in 2011. Market cap approximately $1.4B.</w:t>
      </w:r>
    </w:p>
    <w:p>
      <w:r>
        <w:rPr>
          <w:rFonts w:ascii="Calibri" w:hAnsi="Calibri"/>
          <w:b/>
          <w:color w:val="6E8450"/>
          <w:sz w:val="18"/>
        </w:rPr>
        <w:t>5,700 Employees · https://www.tronox.com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Tronox has not launched transformative new products in recent years; the business remains fundamentally the same TiO2/zircon operation. The Botlek and Fuzhou plant closures in 2025 with $233M in restructuring charges represent cost rationalization, not innovation [1]. Q2 2026 TiO2 volumes surged 18% YoY to $700M in TiO2 sales, and total revenue reached $868M (+19% YoY), signaling cyclical recovery and pricing stabilization rather than innovation-driven growth [2]. AI Deployment (1/2): Tronox has a dedicated VP of AI driving digital transformation through AI-driven supply chain optimization and advanced analytics, creating what the company calls a 'high performance culture where it's safe to question the status quo and think big' [3]. However, no quantified AI-driven cost savings or revenue have been disclosed. Market Share (1/2): Tronox is one of the world's largest vertically integrated TiO2 producers with meaningful global positioning across six continents, but faces persistent pricing pressure — Q1 2026 TiO2 average selling prices declined 4%, while Q2 prices were flat YoY despite strong 18% volume recovery [2][4]. Product Pipeline (0/2): No next-generation products with specific timelines; the rare earth opportunity has $600M government backing but no commercial timeline [5]. R&amp;D Intensity (0/1): Chemicals/mining industry with below-average R&amp;D intensity; spending focused on process optimization rather than breakthrough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Tronox's aspiration to be 'the world's most vertically integrated and lowest cost producer of TiO2' and create 'a world that is cleaner, brighter, and more colorful' is operationally focused and largely interchangeable with specialty chemicals peers [3]. Community Impact (0/2): The Kerr-McGee legacy represents one of the largest environmental contamination cases in U.S. history with $5B+ in cleanup costs across 22 states and the Navajo Nation [5]. While current ESG initiatives include 30% renewable energy at major sites and 28% water usage reduction targets, the legacy contamination overshadows community standing. Employee Retention (1/2): Glassdoor rating of 3.9/5 with 82-83% recommending the company is above average for mining/chemicals [3]. CEO Romano provides leadership continuity. However, the Botlek and Fuzhou plant closures with 2,800+ job impacts and reviews noting 'different departments not interacting much' suggest organizational challenges. Insider Buying (1/2): No significant open-market insider purchases or sales identified in recent data; neutral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Tronox's financial condition shows early signs of recovery in Q2 2026 — revenue surged 19% YoY to $868M with TiO2 volumes up 18%, and adjusted EBITDA of $73M improved 18% sequentially despite declining 22% YoY [2]. Q3 2026 EBITDA guidance of $95-115M signals further improvement. However, the company remains unprofitable with TTM profit margin of -18.12% and ROE of -29.20% [6]. D/E improved to 238% from 266% but remains well above the 300% floor's proximity, scoring only 0.27 on this metric. Revenue growth accelerated meaningfully (Q2 +19% vs Q1 +3%), scoring 1.0 against the 10% target. 5yr revenue CAGR of ~2.2% reflects the deep cyclical trough. Forward P/E is negative (excluded from calculation as the company is unprofitable). Dividend metrics are severely impaired: 13 consecutive years of payment (2x weight, scores 1.0) is the lone bright spot, offset by 0 consecutive years of growth (60% cut in H2 2025), negative 5yr dividend growth CAGR (-16.7%, scores 0 at 2x weight), and unprofitable payout ratio (excluded). The stock at $9.12 jumped 15% on Q2 earnings. Liquidity check passes: ~2.8M avg vol x $9.12 = ~$25.5M.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Tronox operates as a financially-driven industrial manufacturer focused on cost optimization, debt management, and cyclical survival rather than advancing an enduring purpose beyond TiO2 production. The $125-175M cost savings program, Botlek/Fuzhou plant closures, and 60% dividend cut reflect pragmatic crisis management rather than infinite game thinking. CEO Romano provides continuity, and Q2 2026's 19% revenue growth and sequential EBITDA improvement show operational progress, but the company plays to survive the commodity cycle rather than advance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Tronox's purpose is industrial — producing TiO2 pigment efficiently at global scale and creating 'a world that is cleaner, brighter, and more colorful' [3]. While the phrasing connects their product to a broader outcome, there is no articulated Just Cause that would inspire sacrifice or endure beyond the current business model. The company exists to mine, process, and sell minerals profitably, which is a legitimate business but not an infinite game cause by Sinek's definition. The rare earth opportunity adds strategic relevance but isn't framed as a purpose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with 82-83% recommending the company suggests above-average workplace trust for the mining/chemicals sector [3]. CEO Romano provides leadership stability, and the company describes fostering a culture 'where it's safe to question the status quo and think big.' However, the Botlek and Fuzhou plant closures in 2025 with $233M in restructuring charges and 2,800+ job reductions disrupted organizational trust, and reviews note siloed departments with 'different departments not interacting much' [1][3].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framing competition in terms of learning or self-improvement. Tronox's competitive strategy focuses on anti-dumping actions against Chinese TiO2 producers, vertical integration cost advantages, and trade defense — a finite competitive mindset oriented around protecting market position through regulatory action rather than improving capabilities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Tronox is pursuing meaningful strategic expansion into rare earth minerals processing, securing $600M in government backing for critical minerals development [5]. This represents incremental flexibility — leveraging existing mining and processing capabilities into an adjacent, strategically important market for defense and energy transition. The Q2 2026 plant rationalization and portfolio optimization also show willingness to adapt. However, the core business model (mine, refine, sell TiO2) has not fundamentally changed since the Cristal acquisition in 2019.</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Romano made the difficult decision to close Botlek and Fuzhou plants in 2025, accepting $233M in restructuring charges to right-size the cost structure, and launched the $125-175M sustainable cost improvement program [1][4]. Q2 2026 pricing actions and targeted surcharges show willingness to push for margin recovery despite competitive pressure. However, the 60% dividend cut signals financial necessity rather than strategic courage, and the actions are reactive to margin compression rather than proactive long-term investment in new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Tronox offers a deeply cyclical turnaround story showing meaningful Q2 2026 inflection — revenue surged 19% YoY to $868M (beating consensus by 2.2%) with TiO2 volumes up 18%, and adjusted EBITDA of $73M improved 18% sequentially [2]. Management guided Q3 EBITDA of $95-115M, implying further sequential improvement as anti-dumping actions, pricing initiatives, and $125-175M cost savings take hold. The stock at $9.12 trades at just 0.48x P/S and ~0.7x book value for one of the world's largest vertically integrated TiO2 producers [6]. The rare earth minerals opportunity with $600M government backing provides long-term strategic optionality beyond TiO2 [5]. D/E improved to 238% from 266%, and the 3.39% dividend yield remains intact despite the 60% cut. The ALIGNED faith alignment score (+55) with 16 positive ESG attributions and zero negative makes TROX a values-compatible holding for faith-oriented portfolios.</w:t>
      </w:r>
    </w:p>
    <w:p>
      <w:pPr>
        <w:spacing w:after="120"/>
      </w:pPr>
      <w:r>
        <w:rPr>
          <w:rFonts w:ascii="Calibri" w:hAnsi="Calibri"/>
          <w:b w:val="0"/>
          <w:color w:val="3A4A28"/>
          <w:sz w:val="20"/>
        </w:rPr>
        <w:t>The bear case centers on crushing leverage and persistent unprofitability in a commodity industry. Net debt exceeds $3B with D/E of 238% and the Altman Z-Score near distressed territory [6]. Despite Q2 revenue growth of 19%, TTM profit margin remains deeply negative at -18.12% and ROE at -29.20%, meaning the turnaround has not yet reached profitability [6]. Q2 adjusted EBITDA of $73M (8.4% margin) declined 22% YoY even as volumes surged, demonstrating that cost pressures — energy, raw materials, logistics — are offsetting volume gains. Chinese TiO2 overcapacity and weak global construction demand create structural pricing headwinds that anti-dumping actions can only partially address [2]. The 60% dividend cut in H2 2025 signals capital preservation mode, and the negative 5yr dividend growth CAGR of -16.7% undermines the income case. The Kerr-McGee environmental legacy ($5B+ cleanup costs across 22 states and the Navajo Nation) represents ongoing reputational and potential financial risk [5]. The recovery trajectory requires sustained pricing improvement and cost savings execution — failure on either front could push the stock toward further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EBITDA guidance of $95-115M represents 30-57% sequential improvement over Q2's $73M, potentially signaling the inflection to meaningful profitability as pricing actions, anti-dumping protections, and cost savings converge [2]</w:t>
      </w:r>
    </w:p>
    <w:p>
      <w:pPr>
        <w:spacing w:before="40" w:after="40"/>
        <w:ind w:left="283"/>
      </w:pPr>
      <w:r>
        <w:rPr>
          <w:rFonts w:ascii="Calibri" w:hAnsi="Calibri"/>
          <w:b/>
          <w:color w:val="4A6B25"/>
          <w:sz w:val="20"/>
        </w:rPr>
        <w:t xml:space="preserve">2. </w:t>
      </w:r>
      <w:r>
        <w:rPr>
          <w:rFonts w:ascii="Calibri" w:hAnsi="Calibri"/>
          <w:b w:val="0"/>
          <w:color w:val="3A4A28"/>
          <w:sz w:val="20"/>
        </w:rPr>
        <w:t>Cost savings program reaching the $125-175M run-rate target by end of 2026, combined with declining capex, targeting return to positive free cash flow generation [4]</w:t>
      </w:r>
    </w:p>
    <w:p>
      <w:pPr>
        <w:spacing w:before="40" w:after="40"/>
        <w:ind w:left="283"/>
      </w:pPr>
      <w:r>
        <w:rPr>
          <w:rFonts w:ascii="Calibri" w:hAnsi="Calibri"/>
          <w:b/>
          <w:color w:val="4A6B25"/>
          <w:sz w:val="20"/>
        </w:rPr>
        <w:t xml:space="preserve">3. </w:t>
      </w:r>
      <w:r>
        <w:rPr>
          <w:rFonts w:ascii="Calibri" w:hAnsi="Calibri"/>
          <w:b w:val="0"/>
          <w:color w:val="3A4A28"/>
          <w:sz w:val="20"/>
        </w:rPr>
        <w:t>Rare earth minerals processing opportunity with $600M government backing, potentially diversifying Tronox beyond TiO2 into strategically critical minerals for defense and energy transition applications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at 238% D/E with $3B+ net debt — a prolonged TiO2 pricing downturn or failure to reach EBITDA targets could trigger covenant stress, further dividend elimination, or forced asset sales [6]</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despite volume recovery — Q2 2026 EBITDA margin of 8.4% declined 22% YoY even with 19% revenue growth, demonstrating that cost pressures are offsetting volume gains and pricing remains insufficient [2]</w:t>
      </w:r>
    </w:p>
    <w:p>
      <w:pPr>
        <w:spacing w:before="40" w:after="40"/>
        <w:ind w:left="283"/>
      </w:pPr>
      <w:r>
        <w:rPr>
          <w:rFonts w:ascii="Calibri" w:hAnsi="Calibri"/>
          <w:b/>
          <w:color w:val="4A6B25"/>
          <w:sz w:val="20"/>
        </w:rPr>
        <w:t xml:space="preserve">3. </w:t>
      </w:r>
      <w:r>
        <w:rPr>
          <w:rFonts w:ascii="Calibri" w:hAnsi="Calibri"/>
          <w:b w:val="0"/>
          <w:color w:val="3A4A28"/>
          <w:sz w:val="20"/>
        </w:rPr>
        <w:t>Chinese TiO2 overcapacity creating structural pricing headwinds — anti-dumping actions provide partial relief but cannot fully offset the global supply glut in chloride and sulfate process TiO2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Tronox's core business — mining titanium ore, mineral sands processing, and manufacturing TiO2 pigment — involves physical-world operations that AI structurally cannot displace [1]. Titanium dioxide is an essential industrial input for paints, coatings, plastics, and paper with no digital substitute. The vertically integrated mine-to-pigment model requires physical infrastructure across six continents, complex chemical processing expertise, and environmental permitting that create structural barriers to AI disruption. AI may actually increase demand for TiO2 via data center and infrastructure construction requiring paints, coatings, and building materials. The sole risk is AI-optimized competitor manufacturing processes, which represents an efficiency threat but not a substitution threat. AI Opportunity (0/1): No quantifiable AI revenue. The VP of AI role and digital transformation initiatives focus on internal process optimization and supply chain analytics rather than AI product sales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Tronox Q4 and FY2025 Earnings Release — $2.9B Revenue, $470M Net Loss, $233M Restructuring Charges, Botlek/Fuzhou Plant Closures, February 2026</w:t>
      </w:r>
    </w:p>
    <w:p>
      <w:pPr>
        <w:spacing w:before="20" w:after="20"/>
        <w:ind w:left="170"/>
      </w:pPr>
      <w:r>
        <w:rPr>
          <w:rFonts w:ascii="Calibri" w:hAnsi="Calibri"/>
          <w:b/>
          <w:color w:val="4A6B25"/>
          <w:sz w:val="15"/>
        </w:rPr>
        <w:t xml:space="preserve">2. </w:t>
      </w:r>
      <w:r>
        <w:rPr>
          <w:rFonts w:ascii="Calibri" w:hAnsi="Calibri"/>
          <w:b w:val="0"/>
          <w:color w:val="3A4A28"/>
          <w:sz w:val="17"/>
        </w:rPr>
        <w:t>Tronox Q2 2026 Results — $868M Revenue (+19% YoY), TiO2 Sales $700M (+19%), Adjusted EBITDA $73M (8.4% Margin), Q3 Guidance $95-115M, August 2026</w:t>
      </w:r>
    </w:p>
    <w:p>
      <w:pPr>
        <w:spacing w:before="20" w:after="20"/>
        <w:ind w:left="170"/>
      </w:pPr>
      <w:r>
        <w:rPr>
          <w:rFonts w:ascii="Calibri" w:hAnsi="Calibri"/>
          <w:b/>
          <w:color w:val="4A6B25"/>
          <w:sz w:val="15"/>
        </w:rPr>
        <w:t xml:space="preserve">3. </w:t>
      </w:r>
      <w:r>
        <w:rPr>
          <w:rFonts w:ascii="Calibri" w:hAnsi="Calibri"/>
          <w:b w:val="0"/>
          <w:color w:val="3A4A28"/>
          <w:sz w:val="17"/>
        </w:rPr>
        <w:t>Tronox Leadership, Culture, and AI — CEO John Romano, VP of AI, Glassdoor 3.9/5 (82-83% Recommend), Digital Transformation,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Tronox Q1 2026 Results — $760M Revenue (+3% YoY), Adjusted EBITDA $62M, $125-175M Cost Savings Program, May 2026</w:t>
      </w:r>
    </w:p>
    <w:p>
      <w:pPr>
        <w:spacing w:before="20" w:after="20"/>
        <w:ind w:left="170"/>
      </w:pPr>
      <w:r>
        <w:rPr>
          <w:rFonts w:ascii="Calibri" w:hAnsi="Calibri"/>
          <w:b/>
          <w:color w:val="4A6B25"/>
          <w:sz w:val="15"/>
        </w:rPr>
        <w:t xml:space="preserve">5. </w:t>
      </w:r>
      <w:r>
        <w:rPr>
          <w:rFonts w:ascii="Calibri" w:hAnsi="Calibri"/>
          <w:b w:val="0"/>
          <w:color w:val="3A4A28"/>
          <w:sz w:val="17"/>
        </w:rPr>
        <w:t>Tronox Rare Earth Minerals Opportunity ($600M Government Backing), Kerr-McGee Environmental Legacy, ESG Initiatives,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Simply Wall St — TROX Key Statistics: $9.12 Price, D/E 238%, ROE -29.20%, Profit Margin -18.12%, Dividend Yield 3.39%,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