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TRV</w:t>
      </w:r>
      <w:r>
        <w:rPr>
          <w:rFonts w:ascii="Calibri" w:hAnsi="Calibri"/>
          <w:b/>
          <w:color w:val="1A2010"/>
          <w:sz w:val="40"/>
        </w:rPr>
        <w:t xml:space="preserve">  The Travelers Companies, Inc.</w:t>
      </w:r>
    </w:p>
    <w:p>
      <w:pPr>
        <w:spacing w:after="120"/>
      </w:pPr>
      <w:r>
        <w:rPr>
          <w:rFonts w:ascii="Calibri" w:hAnsi="Calibri"/>
          <w:b/>
          <w:color w:val="6E8450"/>
          <w:sz w:val="18"/>
        </w:rPr>
        <w:t>GROWTH SLEEVE · 2026-09-18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Insurance - Property &amp; Casualty · NYSE · United States</w:t>
      </w:r>
    </w:p>
    <w:p>
      <w:pPr>
        <w:spacing w:after="80"/>
      </w:pPr>
      <w:r>
        <w:rPr>
          <w:rFonts w:ascii="Calibri" w:hAnsi="Calibri"/>
          <w:b w:val="0"/>
          <w:color w:val="3A4A28"/>
          <w:sz w:val="20"/>
        </w:rPr>
        <w:t>The Travelers Companies is one of the largest property and casualty insurers in the United States, a Dow Jones Industrial Average component, and a Dividend Aristocrat with 20+ consecutive years of dividend growth. Founded in 1853, the company operates through three segments: Business Insurance, Bond &amp; Specialty Insurance, and Personal Insurance, serving businesses, government units, and individuals. CEO Alan Schnitzer leads a workforce of 34,000 employees deploying generative AI across 20,000 users. H1 2026 net income of $3.9B more than doubled YoY, driven by lower catastrophe losses, higher net investment income (+14%), and improved underlying underwriting results. Market cap exceeds $79B.</w:t>
      </w:r>
    </w:p>
    <w:p>
      <w:r>
        <w:rPr>
          <w:rFonts w:ascii="Calibri" w:hAnsi="Calibri"/>
          <w:b/>
          <w:color w:val="6E8450"/>
          <w:sz w:val="18"/>
        </w:rPr>
        <w:t>34,000 Employees · https://www.travelers.com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Travelers delivered extraordinary H1 2026 results — Q2 net income of $2.21B (up 46% YoY) with EPS of $10.26 (up 57%), producing first-half net income of $3.9B that more than doubled from $1.9B prior year [1]. The 'Innovation 2.0' strategy built on a decade-long technology modernization is generating measurable competitive advantage. The Q1 2026 divestiture of Canadian operations sharpened strategic focus on core U.S. markets. AI Deployment (2/2): Travelers has deployed AI at enterprise scale — 20,000 employees now use AI tools, aerial imagery and AI assessed California wildfire claims nearly 60% faster than 2017-2018 fires, over 50% of claims are eligible for straight-through processing, and a generative AI voice agent handles first notice of loss calls [2]. CTO Mojgan Lefebvre is placing 'fewer, bigger bets' on AI per Fortune, prioritizing scale over experimentation. Market Share (2/2): Travelers is a top-3 U.S. commercial insurer and Dow 30 component with $48.8B in 2025 revenue, holding dominant positions in commercial multi-peril, workers' compensation, and surety bonds [1]. Product Pipeline (1/2): Innovation 2.0 with expanded AI and quantum computing exploration provides directional visibility, but no specific new product launches with timelines were announced beyond continued AI deployment. R&amp;D Intensity (0/1): Insurance companies do not report traditional R&amp;D metrics; technology investment is classified as operating expense.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Travelers' purpose — 'taking care of the people we are privileged to serve' — is specific, thoughtful, and validated by 170+ years of paying claims through every major disaster from the 1861 Hartford fire to the 2025-2026 California wildfires [3]. The connection between insurance and societal risk protection gives the mission genuine depth beyond profit maximization. Strategic decisions — investing in wildfire prediction technology, maintaining claims-paying capacity through catastrophe years — trace back to this purpose. Community Impact (1/2): Travelers Foundation supports communities through disaster relief, education, and diversity programs, publishes sustainability reports aligned with TCFD and SASB frameworks, and maintains a dedicated Travelers Institute for public policy research [3]. However, specific dollar amounts for charitable giving were not identified. Employee Retention (1/2): Glassdoor rating of 4.2/5 with culture score 21% above the insurance industry average and 84% recommending the company suggests above-average employee satisfaction [2]. However, employee reviews cite concerns about AI-driven workforce reductions and closed call centers creating organizational friction. Insider Buying (0/2): Recent insider transaction data from July-August 2026 shows consistent net selling across multiple senior executives — CFO Daniel Frey ($5.2M), CTO Mojgan Lefebvre ($6.0M), CIO Daniel Yin ($2.8M), and officer Maria Olivo ($2.2M) — all following option exercises [4]. No meaningful net insider buying was identified in the most recent quarter.</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Travelers demonstrates exceptional balance sheet strength with D/E of just 27.4%, well below the 70% target, and ROE of 26.5% reflecting strong underwriting profitability and investment returns [4]. Forward P/E of 12.55x is deeply discounted versus the 20x target, reflecting insurance's structural valuation discount and Travelers' consistent earnings power. Profit margin of 16.95% falls short of the 20% target but is strong for P&amp;C insurance where combined ratios near 90% are excellent. Revenue growth YoY of 0.3% is the primary drag — net written premiums were essentially flat at $11.53B in Q2 ($11.54B prior year), growing just 2% excluding the Canadian divestiture [1]. The 5-year revenue CAGR of approximately 9% approaches the 10% target, driven by the hard market pricing cycle from 2021-2025. PEG ratio of 2.36 scores modestly at 0.32 with 2x weight, reflecting moderate growth expectations relative to the low P/E. Liquidity cleared easily at ~$699M daily trading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Travelers is a solid infinite game player with a 170+ year track record of institutional endurance through Civil War, two World Wars, the Great Depression, and multiple insurance cycles. The conservative underwriting philosophy under CEO Schnitzer prioritizes long-term profitability over premium volume growth — net written premiums were flat in Q2 2026 while earnings surged 46%. However, the company's purpose, while enduring, lacks the transformative ambition Sinek associates with a true Just Cause. Heavy insider selling across multiple executives in July-August 2026 and flat revenue growth suggest a company optimizing its current position rather than investing in a cause-driven future.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Travelers' purpose — 'taking care of the people we are privileged to serve' — is genuine and has been partially validated by 170+ years of consistent execution through every major American catastrophe [3]. The company's conservative underwriting philosophy (walking away from underpriced risk even when competitors don't) reflects commitment to long-term stakeholder care over short-term growth. However, this is closer to a well-executed mission than a transformative Just Cause in Sinek's framework — it doesn't describe a future state worth sacrificing for and is functionally interchangeable with any responsible insurer's purpose.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Travelers maintains a stable 34,000-person workforce with Glassdoor culture ratings of 4.2/5, 21% above the insurance industry average, and 84% recommending the company [2]. CEO Schnitzer's approval ratings are strong on employee review platforms. However, the Innovation 2.0 AI transformation is creating legitimate workforce friction — employee reviews describe closed call centers replaced by AI agents, AI-tracked usage metrics, and concerns about job security, suggesting the pace of AI adoption may outstrip organizational trust-building [2].</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Travelers competes with Chubb, AIG, and Berkshire Hathaway's insurance operations through differentiated underwriting discipline and risk selection rather than aggressive pricing or market share warfare. The willingness to let premiums stay flat ($11.53B vs $11.54B prior year in Q2 2026) rather than chase volume at inadequate pricing reflects a competitive posture focused on excellence rather than dominance [1]. Management frames competition as motivation for underwriting 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Travelers has evolved meaningfully over its 170+ year history — from a Hartford-based travel insurance pioneer to a diversified P&amp;C giant, absorbing the St. Paul Companies (2004 merger) and divesting Canadian operations (Q1 2026) to sharpen strategic focus [1]. The enterprise-wide AI transformation (20,000 users, Innovation 2.0) represents significant operational adaptation. However, these are incremental evolutions, not the transformative cause-driven pivots (abandoning a profitable core business for a new direction) that Sinek's framework rewards with full marks.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Travelers demonstrates disciplined courage through its willingness to shed premium volume to maintain underwriting profitability — net written premiums were flat in Q2 2026 while earnings surged 46%, reflecting a choice of profitability over growth [1]. The decade-long technology investment from Innovation 1.0 to Innovation 2.0, including deploying AI agents that eliminated call center jobs, showed willingness to accept short-term friction for long-term capability [2]. However, no evidence of the kind of costly contrarian bets (investing aggressively during downturns, exiting profitable but misaligned businesses at meaningful scale) that constitute a full pattern of courage.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Travelers at 12.55x forward earnings is a deeply discounted blue-chip compounder delivering exceptional profitability — H1 2026 net income of $3.9B more than doubled YoY, with Q2 EPS of $10.26 beating estimates as lower catastrophe losses, 14% growth in net investment income to $1.07B pre-tax, and improved underlying underwriting results combined for a 46% earnings increase [1]. ROE of 26.5% with D/E of just 27.4% reflects best-in-class capital efficiency for P&amp;C insurance. The $5.00 annual dividend with a payout ratio of only 12.2% provides wide safety margins and room for continued growth (23 consecutive years of increases, 6.1% 5-year CAGR). Enterprise-wide AI deployment across 20,000 users is improving underwriting accuracy and claims efficiency — wildfire claims processed 60% faster, 50%+ claims eligible for straight-through processing — positioning Travelers to widen its competitive advantage [2].</w:t>
      </w:r>
    </w:p>
    <w:p>
      <w:pPr>
        <w:spacing w:after="120"/>
      </w:pPr>
      <w:r>
        <w:rPr>
          <w:rFonts w:ascii="Calibri" w:hAnsi="Calibri"/>
          <w:b w:val="0"/>
          <w:color w:val="3A4A28"/>
          <w:sz w:val="20"/>
        </w:rPr>
        <w:t>The bear case centers on flat revenue growth, catastrophe exposure, and insider selling. Net written premiums were essentially flat in Q2 2026 ($11.53B vs $11.54B prior year), with organic growth of only 2% excluding the Canadian divestiture, suggesting the hard market pricing cycle that drove 2021-2025 premium growth may be peaking [1]. Travelers' earnings are inherently volatile due to catastrophe exposure — the Q2 earnings surge was driven by cat losses falling nearly in half ($456M vs $1.04B prior year), a tailwind management cannot control, while climate change is increasing the frequency and severity of weather-related losses. PEG ratio of 2.36 suggests the market sees limited growth runway beyond the current cycle. Consistent insider selling across multiple senior executives in July-August 2026 — CFO ($5.2M), CTO ($6.0M), CIO ($2.8M), and multiple officers — suggests leadership may view current valuations as fully reflecting the outlook [4]. The 1.32% dividend yield falls below the 2% threshold for income-focused investors. The Inspire Impact Score of -49 (MISALIGNED) may limit allocation for faith-based investors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Rising investment income — the long-term fixed income portfolio yield is expanding as lower-rate bonds roll off, with net investment income up 14% YoY to $1.07B pre-tax in Q2, providing a durable earnings floor even if underwriting results normalize [1]</w:t>
      </w:r>
    </w:p>
    <w:p>
      <w:pPr>
        <w:spacing w:before="40" w:after="40"/>
        <w:ind w:left="283"/>
      </w:pPr>
      <w:r>
        <w:rPr>
          <w:rFonts w:ascii="Calibri" w:hAnsi="Calibri"/>
          <w:b/>
          <w:color w:val="4A6B25"/>
          <w:sz w:val="20"/>
        </w:rPr>
        <w:t xml:space="preserve">2. </w:t>
      </w:r>
      <w:r>
        <w:rPr>
          <w:rFonts w:ascii="Calibri" w:hAnsi="Calibri"/>
          <w:b w:val="0"/>
          <w:color w:val="3A4A28"/>
          <w:sz w:val="20"/>
        </w:rPr>
        <w:t>Innovation 2.0 AI strategy at scale — 20,000 AI users deploying generative AI for underwriting risk classification and claims processing could materially improve loss ratios over the next 2-3 years as segmented pricing accuracy increases [2]</w:t>
      </w:r>
    </w:p>
    <w:p>
      <w:pPr>
        <w:spacing w:before="40" w:after="40"/>
        <w:ind w:left="283"/>
      </w:pPr>
      <w:r>
        <w:rPr>
          <w:rFonts w:ascii="Calibri" w:hAnsi="Calibri"/>
          <w:b/>
          <w:color w:val="4A6B25"/>
          <w:sz w:val="20"/>
        </w:rPr>
        <w:t xml:space="preserve">3. </w:t>
      </w:r>
      <w:r>
        <w:rPr>
          <w:rFonts w:ascii="Calibri" w:hAnsi="Calibri"/>
          <w:b w:val="0"/>
          <w:color w:val="3A4A28"/>
          <w:sz w:val="20"/>
        </w:rPr>
        <w:t>Continued dividend growth — 23 consecutive years of increases with a payout ratio of only 12.2% provides substantial room for above-inflation dividend raises, potentially attracting income-growth investors as the $5.00 annual rate grows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Catastrophe loss volatility intensifying — climate change-driven increases in wildfire, hurricane, and severe storm frequency create tail risk; Q2 2026 benefited from cat losses falling nearly in half, a tailwind that is inherently non-recurring and could reverse sharply in a single event season [1]</w:t>
      </w:r>
    </w:p>
    <w:p>
      <w:pPr>
        <w:spacing w:before="40" w:after="40"/>
        <w:ind w:left="283"/>
      </w:pPr>
      <w:r>
        <w:rPr>
          <w:rFonts w:ascii="Calibri" w:hAnsi="Calibri"/>
          <w:b/>
          <w:color w:val="4A6B25"/>
          <w:sz w:val="20"/>
        </w:rPr>
        <w:t xml:space="preserve">2. </w:t>
      </w:r>
      <w:r>
        <w:rPr>
          <w:rFonts w:ascii="Calibri" w:hAnsi="Calibri"/>
          <w:b w:val="0"/>
          <w:color w:val="3A4A28"/>
          <w:sz w:val="20"/>
        </w:rPr>
        <w:t>Hard market pricing cycle peaking — flat net written premiums (+2% ex-Canada divestiture) suggest rate adequacy approaching equilibrium, and if competitors begin aggressive pricing to regain market share, Travelers' premium growth could turn negative [1]</w:t>
      </w:r>
    </w:p>
    <w:p>
      <w:pPr>
        <w:spacing w:before="40" w:after="40"/>
        <w:ind w:left="283"/>
      </w:pPr>
      <w:r>
        <w:rPr>
          <w:rFonts w:ascii="Calibri" w:hAnsi="Calibri"/>
          <w:b/>
          <w:color w:val="4A6B25"/>
          <w:sz w:val="20"/>
        </w:rPr>
        <w:t xml:space="preserve">3. </w:t>
      </w:r>
      <w:r>
        <w:rPr>
          <w:rFonts w:ascii="Calibri" w:hAnsi="Calibri"/>
          <w:b w:val="0"/>
          <w:color w:val="3A4A28"/>
          <w:sz w:val="20"/>
        </w:rPr>
        <w:t>Consistent insider selling across senior leadership in July-August 2026 ($16M+ across CFO, CTO, CIO, and multiple officers) may signal internal assessment that the stock's 50%+ appreciation from 52-week lows has fully captured the earnings upside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Insurance is a heavily regulated, relationship-driven business where core operations — underwriting risk assessment, claims adjudication, regulatory compliance, and loss reserves management — require human judgment, actuarial expertise, and physical-world claims inspection that AI cannot fully replicate [2]. Travelers' 170+ year history of underwriting data creates a proprietary data moat. InsurTech disruptors like Lemonade have failed to displace incumbents at scale, and regulatory barriers (state-by-state licensing, capital requirements, rate approval processes) structurally protect established carriers. However, AI is increasingly automating portions of underwriting, claims processing, and distribution — and Travelers itself demonstrates this by deploying AI voice agents that replaced call center workers [2]. The disruption is ongoing, though Travelers' scale, brand, regulatory knowledge, and data moats provide meaningful protection. AI Opportunity (0/1): Travelers uses AI extensively for internal operations (underwriting, claims, pricing) but does not generate direct revenue from AI products or services sold to external customers. Efficiency gains are embedded in underwriting margins, not separately monetized.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Travelers Q2 2026 Earnings Release — Net income $2.21B (up 46%), EPS $10.26 (up 57%), net written premiums $11.53B (flat), net investment income $1.07B (+14%), H1 net income $3.9B (doubled), July 2026</w:t>
      </w:r>
    </w:p>
    <w:p>
      <w:pPr>
        <w:spacing w:before="20" w:after="20"/>
        <w:ind w:left="170"/>
      </w:pPr>
      <w:r>
        <w:rPr>
          <w:rFonts w:ascii="Calibri" w:hAnsi="Calibri"/>
          <w:b/>
          <w:color w:val="4A6B25"/>
          <w:sz w:val="15"/>
        </w:rPr>
        <w:t xml:space="preserve">2. </w:t>
      </w:r>
      <w:r>
        <w:rPr>
          <w:rFonts w:ascii="Calibri" w:hAnsi="Calibri"/>
          <w:b w:val="0"/>
          <w:color w:val="3A4A28"/>
          <w:sz w:val="17"/>
        </w:rPr>
        <w:t>Carrier Management — '20,000 AI Users at Travelers Prep for Innovation 2.0; Claims Call Centers Cut,' January 2026; Travelers Managing AI Risks; Glassdoor 4.2/5 culture rating, 2026</w:t>
      </w:r>
    </w:p>
    <w:p>
      <w:pPr>
        <w:spacing w:before="20" w:after="20"/>
        <w:ind w:left="170"/>
      </w:pPr>
      <w:r>
        <w:rPr>
          <w:rFonts w:ascii="Calibri" w:hAnsi="Calibri"/>
          <w:b/>
          <w:color w:val="4A6B25"/>
          <w:sz w:val="15"/>
        </w:rPr>
        <w:t xml:space="preserve">3. </w:t>
      </w:r>
      <w:r>
        <w:rPr>
          <w:rFonts w:ascii="Calibri" w:hAnsi="Calibri"/>
          <w:b w:val="0"/>
          <w:color w:val="3A4A28"/>
          <w:sz w:val="17"/>
        </w:rPr>
        <w:t>Travelers Institute ESG, Travelers Sustainability Report, TCFD/SASB alignment, Travelers Foundation community programs, sustainability.travelers.com, 2025-2026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TRV Key Statistics: Stock Price $379.49, Forward P/E 12.55x, ROE 26.51%, D/E 27.4%, PEG 2.36, Dividend $5.00 (1.32% yield), Insider Transactions July-August 2026,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