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TRX</w:t>
      </w:r>
      <w:r>
        <w:rPr>
          <w:rFonts w:ascii="Calibri" w:hAnsi="Calibri"/>
          <w:b/>
          <w:color w:val="1A2010"/>
          <w:sz w:val="40"/>
        </w:rPr>
        <w:t xml:space="preserve">  TRX Gold Corporation</w:t>
      </w:r>
    </w:p>
    <w:p>
      <w:pPr>
        <w:spacing w:after="120"/>
      </w:pPr>
      <w:r>
        <w:rPr>
          <w:rFonts w:ascii="Calibri" w:hAnsi="Calibri"/>
          <w:b/>
          <w:color w:val="6E8450"/>
          <w:sz w:val="18"/>
        </w:rPr>
        <w:t>GROWTH SLEEVE · 2026-10-17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NYSE · Tanzania</w:t>
      </w:r>
    </w:p>
    <w:p>
      <w:pPr>
        <w:spacing w:after="80"/>
      </w:pPr>
      <w:r>
        <w:rPr>
          <w:rFonts w:ascii="Calibri" w:hAnsi="Calibri"/>
          <w:b w:val="0"/>
          <w:color w:val="3A4A28"/>
          <w:sz w:val="20"/>
        </w:rPr>
        <w:t>TRX Gold Corporation (formerly Tanzanian Gold Corporation) operates the Buckreef Gold Project in Tanzania's Lake Victoria Goldfields region. The company transitioned from exploration to commercial production and reported YTD FY2026 revenue of $92.0M with gross profit of $54.7M (59% gross margin) and adjusted EBITDA of $54.1M. FY2026 gold production guidance of 25,000-30,000 ounces has been met, with expectations to finish at the top end. CEO Stephen Mullowney has led the company since December 2020, with COO Richard Boffey appointed in December 2024.</w:t>
      </w:r>
    </w:p>
    <w:p>
      <w:r>
        <w:rPr>
          <w:rFonts w:ascii="Calibri" w:hAnsi="Calibri"/>
          <w:b/>
          <w:color w:val="6E8450"/>
          <w:sz w:val="18"/>
        </w:rPr>
        <w:t>1,500 Employees · https://www.trxgold.com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TRX Gold has executed a meaningful transformation from an exploration-stage company to a producing gold miner at Buckreef, with production scaling from 20,759 oz in FY2023 to guidance of 25,000-30,000 oz in FY2026 and revenue surging 163% YoY in Q3 FY2026 to $32.9M [1][2]. This represents a fundamental business model shift from capital-consuming explorer to cash-generating producer. AI Deployment (0/2): No evidence of AI deployment in operations; the company uses conventional open-pit mining methods at Buckreef with no AI-driven products or quantified internal savings [3]. Market Share (0/2): TRX Gold is a micro-cap gold producer with annual production under 30,000 oz, a negligible share of global gold output (~105M oz/yr), and no category leadership or meaningful share gains [2]. Product Pipeline (1/2): The company is expanding Buckreef with plans for a larger Carbon-in-Leach plant and exploration of additional deposits on the Buckreef property, though specific timelines and capital commitments remain vague. R&amp;D Intensity (0/1): Gold mining companies do not typically invest in R&amp;D; exploration spending is standard for the industry.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TRX Gold's stated purpose is oriented around responsible gold mining in Tanzania with community partnership, but the articulation is generic and interchangeable with any junior miner — 'creating value through responsible gold production' does not differentiate or inspire beyond the obvious [3]. Community Impact (1/2): The company maintains a fully local Tanzanian workforce and runs community education and health programs in the Geita Region, including an indigenous tree nursery for mine rehabilitation — commendable for a micro-cap miner with nearly two decades of local presence, though dollar amounts and scale are not disclosed [4]. Employee Retention (0/2): No publicly available Glassdoor data, voluntary turnover rates, or average tenure data for TRX Gold's workforce. The company's small size and remote location make retention data scarce. Insider Buying (0/2): No evidence of meaningful net insider buying by CEO Stephen Mullowney or other executives in the last 12 months. CEO compensation has increased while the company remains unprofitable on a GAAP basis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D/E of 4.5% is near-zero leverage, scoring 1.0 (1x weight) [5]. ROE of -0.67% is below the 0% floor, scoring 0.0 (2x weight). Revenue growth YoY of 163.3% far exceeds the 10% target, scoring 1.0 (1x weight) [2]. Revenue growth 5yr CAGR is unavailable (excluded). Forward P/E of 10.5 is well below the 20 target, scoring 1.0 (1x weight). Profit margin of -16.7% is below the 0% floor, scoring 0.0 (1x weight). Forward PEG is unavailable (excluded). Weighted sum: 3.0 / max 6.0 = 0.50, infrastructure score = round(5.0) = 5. Daily dollar volume of $3.1M ($1.05 x 2.93M shares) clears the $1M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TRX Gold operates with a fundamentally finite mindset — the company exists to extract a depletable resource for profit, with no articulated vision beyond Buckreef's mine life. Sinek would note the absence of a Just Cause, as gold mining is inherently extractive rather than aspirational. The company's nearly two-decade presence in Tanzania and commitment to a local workforce suggest some organizational trust, and the transition from exploration to production required leadership courage, but strategic decisions are driven by gold prices and production optimization rather than purpose [3][4]. There is no evidence of infinite competitive thinking or existential flexibility beyond the standard mining lifecycle.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TRX Gold has no articulated Just Cause in Sinek's framework. The company's purpose is gold production for shareholder value — a legitimate business objective but not a vision of a better future that inspires sacrifice. 'Responsible mining' is mentioned in the context of community programs but is not a strategic driver that shapes capital allocation or competitive positioning [3][4]. Mining a depletable resource is structurally finite.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fully local Tanzanian workforce and nearly 20 years of community presence in the Geita Region suggest reasonable organizational stability and local trust [4]. CEO Stephen Mullowney has provided consistent leadership since December 2020, and the addition of COO Richard Boffey in late 2024 shows orderly executive development. However, no Glassdoor data, turnover metrics, or employee sentiment data exists to validate internal culture quality for this small-cap miner.</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TRX Gold does not publicly discuss competitors as worthy rivals or reference learning from other miners' strengths. Management commentary focuses on production metrics, gold prices, and project execution — standard finite-game language for the mining industry.</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transition from exploration to production is the natural mining company lifecycle, not a strategic pivot in service of a higher cause. TRX Gold has not demonstrated willingness to abandon its core business model or enter fundamentally new markets. The company is defined by a single asset (Buckreef Gold Project) in a single commodity (gold) in a single country (Tanzania), offering minimal strategic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Stephen Mullowney led the company through the risky transition from exploration to commercial production at Buckreef, investing significant capital in plant construction and mine development during a period of negative earnings [1][3]. Operating in Tanzania requires navigating regulatory complexity, currency risk, and geopolitical uncertainty, which demands leadership conviction. However, these are standard mining development decisions rather than purpose-driven sacrifices of short-term performance.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TRX Gold at $1.05 with a forward P/E of 10.5x offers leveraged exposure to gold prices through a rapidly scaling Tanzanian producer. The company has executed a successful transition from exploration to production, with FY2026 YTD revenue of $92.0M, gross margins of 59%, and adjusted EBITDA margins near 60% — exceptional profitability for a junior miner [1][2]. With gold prices above $4,600/oz and production at the top end of 25,000-30,000 oz guidance, TRX Gold generates meaningful cash flow from its low-cost Buckreef operation. The near-zero debt-to-equity ratio (4.5%) and attractive forward P/E suggest the market is pricing in significant risk that the current gold price environment won't persist.</w:t>
      </w:r>
    </w:p>
    <w:p>
      <w:pPr>
        <w:spacing w:after="120"/>
      </w:pPr>
      <w:r>
        <w:rPr>
          <w:rFonts w:ascii="Calibri" w:hAnsi="Calibri"/>
          <w:b w:val="0"/>
          <w:color w:val="3A4A28"/>
          <w:sz w:val="20"/>
        </w:rPr>
        <w:t>The bear case centers on single-asset concentration risk and structural limitations. TRX Gold's entire revenue depends on one mine (Buckreef) in one country (Tanzania), creating catastrophic risk from operational disruption, regulatory changes, or resource depletion [3]. Despite strong EBITDA, the company reports negative GAAP net income (-16.7% net margin), indicating that depreciation, amortization, and non-cash charges consume operating profits. The $344M market cap and $1.05 share price make this a highly volatile micro-cap stock unsuitable for conservative portfolios. Gold price sensitivity is extreme — a return to $2,000/oz gold would collapse revenues and likely push the company back to operating losses. The absence of dividend payments, short production track record, and limited mine life visibility further constrain the investment case to speculative gold bulls with high risk tolerance.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Gold prices above $4,600/oz drive exceptional margins — Q2 FY2026 realized $4,655/oz with 61% gross margin and 59% adjusted EBITDA margin, creating substantial free cash flow generation [1]</w:t>
      </w:r>
    </w:p>
    <w:p>
      <w:pPr>
        <w:spacing w:before="40" w:after="40"/>
        <w:ind w:left="283"/>
      </w:pPr>
      <w:r>
        <w:rPr>
          <w:rFonts w:ascii="Calibri" w:hAnsi="Calibri"/>
          <w:b/>
          <w:color w:val="4A6B25"/>
          <w:sz w:val="20"/>
        </w:rPr>
        <w:t xml:space="preserve">2. </w:t>
      </w:r>
      <w:r>
        <w:rPr>
          <w:rFonts w:ascii="Calibri" w:hAnsi="Calibri"/>
          <w:b w:val="0"/>
          <w:color w:val="3A4A28"/>
          <w:sz w:val="20"/>
        </w:rPr>
        <w:t>Production expansion at Buckreef toward the top end of 25,000-30,000 oz FY2026 guidance with potential for further capacity increases through a larger Carbon-in-Leach processing plant [2]</w:t>
      </w:r>
    </w:p>
    <w:p>
      <w:pPr>
        <w:spacing w:before="40" w:after="40"/>
        <w:ind w:left="283"/>
      </w:pPr>
      <w:r>
        <w:rPr>
          <w:rFonts w:ascii="Calibri" w:hAnsi="Calibri"/>
          <w:b/>
          <w:color w:val="4A6B25"/>
          <w:sz w:val="20"/>
        </w:rPr>
        <w:t xml:space="preserve">3. </w:t>
      </w:r>
      <w:r>
        <w:rPr>
          <w:rFonts w:ascii="Calibri" w:hAnsi="Calibri"/>
          <w:b w:val="0"/>
          <w:color w:val="3A4A28"/>
          <w:sz w:val="20"/>
        </w:rPr>
        <w:t>Forward P/E of 10.5x on a 163% YoY revenue growth trajectory represents deep value if gold prices sustain current levels and production continues scaling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Single-asset concentration in Tanzania's Buckreef mine — any operational disruption, regulatory change, or resource depletion would eliminate 100% of revenue with no diversification buffer [3]</w:t>
      </w:r>
    </w:p>
    <w:p>
      <w:pPr>
        <w:spacing w:before="40" w:after="40"/>
        <w:ind w:left="283"/>
      </w:pPr>
      <w:r>
        <w:rPr>
          <w:rFonts w:ascii="Calibri" w:hAnsi="Calibri"/>
          <w:b/>
          <w:color w:val="4A6B25"/>
          <w:sz w:val="20"/>
        </w:rPr>
        <w:t xml:space="preserve">2. </w:t>
      </w:r>
      <w:r>
        <w:rPr>
          <w:rFonts w:ascii="Calibri" w:hAnsi="Calibri"/>
          <w:b w:val="0"/>
          <w:color w:val="3A4A28"/>
          <w:sz w:val="20"/>
        </w:rPr>
        <w:t>Negative GAAP net margin of -16.7% despite strong EBITDA indicates heavy non-cash charges and raises questions about true economic profitability and capital intensity of the mining operation [5]</w:t>
      </w:r>
    </w:p>
    <w:p>
      <w:pPr>
        <w:spacing w:before="40" w:after="40"/>
        <w:ind w:left="283"/>
      </w:pPr>
      <w:r>
        <w:rPr>
          <w:rFonts w:ascii="Calibri" w:hAnsi="Calibri"/>
          <w:b/>
          <w:color w:val="4A6B25"/>
          <w:sz w:val="20"/>
        </w:rPr>
        <w:t xml:space="preserve">3. </w:t>
      </w:r>
      <w:r>
        <w:rPr>
          <w:rFonts w:ascii="Calibri" w:hAnsi="Calibri"/>
          <w:b w:val="0"/>
          <w:color w:val="3A4A28"/>
          <w:sz w:val="20"/>
        </w:rPr>
        <w:t>Extreme gold price sensitivity — the company's profitability is entirely dependent on elevated gold prices ($4,600+/oz), and a normalization toward historical averages would severely compress margins and cash flow</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Gold mining is a physical-world operation that AI structurally cannot displace — extracting gold from open-pit mines in Tanzania requires heavy equipment, geological expertise, chemical processing, and on-site labor that no software can substitute [2][4]. The company's revenue is driven by physical gold sales at spot prices, creating zero AI substitution risk for the core product. AI may modestly enhance geological modeling, drill targeting, and process optimization over time, but these are efficiency gains, not disruption vectors. The mining-to-refining-to-sale value chain is immune to the kind of displacement that threatens information-economy businesses. AI Opportunity (0/1): TRX Gold generates no revenue from AI products or services and has no AI-related business lines or technology offerings.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N/A</w:t>
      </w:r>
      <w:r>
        <w:rPr>
          <w:rFonts w:ascii="Calibri" w:hAnsi="Calibri"/>
          <w:b/>
          <w:color w:val="B8860B"/>
          <w:sz w:val="20"/>
        </w:rPr>
        <w:t xml:space="preserve">    N/A</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TRX Gold Q2 FY2026 Results — Revenue $34.1M, Gross Profit $21.1M (61% Margin), Adjusted EBITDA $20.2M, Realized Gold Price $4,655/oz — SEC Filing 6-K, April 2026</w:t>
      </w:r>
    </w:p>
    <w:p>
      <w:pPr>
        <w:spacing w:before="20" w:after="20"/>
        <w:ind w:left="170"/>
      </w:pPr>
      <w:r>
        <w:rPr>
          <w:rFonts w:ascii="Calibri" w:hAnsi="Calibri"/>
          <w:b/>
          <w:color w:val="4A6B25"/>
          <w:sz w:val="15"/>
        </w:rPr>
        <w:t xml:space="preserve">2. </w:t>
      </w:r>
      <w:r>
        <w:rPr>
          <w:rFonts w:ascii="Calibri" w:hAnsi="Calibri"/>
          <w:b w:val="0"/>
          <w:color w:val="3A4A28"/>
          <w:sz w:val="17"/>
        </w:rPr>
        <w:t>TRX Gold Q3 FY2026 Earnings — Revenue $32.9M (+163% YoY), Gold Sales +75% YoY, YTD Revenue $92.0M, Production Guidance 25,000-30,000 oz — Quartr, July 2026</w:t>
      </w:r>
    </w:p>
    <w:p>
      <w:pPr>
        <w:spacing w:before="20" w:after="20"/>
        <w:ind w:left="170"/>
      </w:pPr>
      <w:r>
        <w:rPr>
          <w:rFonts w:ascii="Calibri" w:hAnsi="Calibri"/>
          <w:b/>
          <w:color w:val="4A6B25"/>
          <w:sz w:val="15"/>
        </w:rPr>
        <w:t xml:space="preserve">3. </w:t>
      </w:r>
      <w:r>
        <w:rPr>
          <w:rFonts w:ascii="Calibri" w:hAnsi="Calibri"/>
          <w:b w:val="0"/>
          <w:color w:val="3A4A28"/>
          <w:sz w:val="17"/>
        </w:rPr>
        <w:t>TRX Gold Corporate Profile — CEO Stephen Mullowney (since Dec 2020), COO Richard Boffey (Dec 2024), Buckreef Gold Project — SimplyWall.St, Company Reports, 2026</w:t>
      </w:r>
    </w:p>
    <w:p>
      <w:pPr>
        <w:spacing w:before="20" w:after="20"/>
        <w:ind w:left="170"/>
      </w:pPr>
      <w:r>
        <w:rPr>
          <w:rFonts w:ascii="Calibri" w:hAnsi="Calibri"/>
          <w:b/>
          <w:color w:val="4A6B25"/>
          <w:sz w:val="15"/>
        </w:rPr>
        <w:t xml:space="preserve">4. </w:t>
      </w:r>
      <w:r>
        <w:rPr>
          <w:rFonts w:ascii="Calibri" w:hAnsi="Calibri"/>
          <w:b w:val="0"/>
          <w:color w:val="3A4A28"/>
          <w:sz w:val="17"/>
        </w:rPr>
        <w:t>TRX Gold ESG &amp; Community — Local Tanzanian Workforce, Community Education and Health Programs, Indigenous Tree Nursery for Rehabilitation — Sustainability Report 2023</w:t>
      </w:r>
    </w:p>
    <w:p>
      <w:pPr>
        <w:spacing w:before="20" w:after="20"/>
        <w:ind w:left="170"/>
      </w:pPr>
      <w:r>
        <w:rPr>
          <w:rFonts w:ascii="Calibri" w:hAnsi="Calibri"/>
          <w:b/>
          <w:color w:val="4A6B25"/>
          <w:sz w:val="15"/>
        </w:rPr>
        <w:t xml:space="preserve">5. </w:t>
      </w:r>
      <w:r>
        <w:rPr>
          <w:rFonts w:ascii="Calibri" w:hAnsi="Calibri"/>
          <w:b w:val="0"/>
          <w:color w:val="3A4A28"/>
          <w:sz w:val="17"/>
        </w:rPr>
        <w:t>Yahoo Finance — TRX key statistics, Forward P/E 10.5x, D/E 4.5%, Avg Volume 2.93M shares,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