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TSLA</w:t>
      </w:r>
      <w:r>
        <w:rPr>
          <w:rFonts w:ascii="Calibri" w:hAnsi="Calibri"/>
          <w:b/>
          <w:color w:val="1A2010"/>
          <w:sz w:val="40"/>
        </w:rPr>
        <w:t xml:space="preserve">  Tesla, Inc.</w:t>
      </w:r>
    </w:p>
    <w:p>
      <w:pPr>
        <w:spacing w:after="120"/>
      </w:pPr>
      <w:r>
        <w:rPr>
          <w:rFonts w:ascii="Calibri" w:hAnsi="Calibri"/>
          <w:b/>
          <w:color w:val="6E8450"/>
          <w:sz w:val="18"/>
        </w:rPr>
        <w:t>GROWTH SLEEVE · 2026-10-03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Manufacturers · NASDAQ · United States</w:t>
      </w:r>
    </w:p>
    <w:p>
      <w:pPr>
        <w:spacing w:after="80"/>
      </w:pPr>
      <w:r>
        <w:rPr>
          <w:rFonts w:ascii="Calibri" w:hAnsi="Calibri"/>
          <w:b w:val="0"/>
          <w:color w:val="3A4A28"/>
          <w:sz w:val="20"/>
        </w:rPr>
        <w:t>Tesla designs and sells electric vehicles, energy storage and solar, and is developing autonomy (FSD, robotaxi) and the Optimus humanoid robot. Q2 2026 revenue was a record $28.24B (+26% YoY) on 480,126 deliveries, but GAAP operating margin fell to 1.4% and free cash flow was -$1.09B on capex of $5.79B [1].</w:t>
      </w:r>
    </w:p>
    <w:p>
      <w:r>
        <w:rPr>
          <w:rFonts w:ascii="Calibri" w:hAnsi="Calibri"/>
          <w:b/>
          <w:color w:val="6E8450"/>
          <w:sz w:val="18"/>
        </w:rPr>
        <w:t>https://www.tesla.com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transformed autos with EVs, built Gigafactory manufacturing and a Supercharger network, grew energy storage ($3.14B quarterly, +13%), and launched a robotaxi service in Austin in June 2025 [1][2]. AI Deployment (2/2): FSD and robotaxi are shipping to customers, and services and other revenue grew 50% to $4.58B [1][2]. Market Share (2/2): Q2 2026 deliveries of 480,126 were up 25% YoY, far above the 406,600 expected [1]. Pipeline (1/2): Optimus public availability targeted for late 2027, but program is reportedly behind aggressive internal timelines [2]. R&amp;D (0/1): R&amp;D intensity is roughly in line with auto peers, with no clear premium.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'accelerate the world's transition to sustainable energy' is specific and differentiated, and decades of EV and storage investment validate it, though the narrative has shifted toward autonomy and robotics [2]. Community (1/2): sustainability impact via EVs and storage, but no charitable program dollar figures found. Retention (0/2): about 66% turnover among Musk's direct reports since 2021 and recurring Optimus and AI leadership departures [2]. Insider Buying (0/2): no verified net insider buying; Musk compensation is equity grants.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on available metrics (PEG unavailable). D/E of 18.4% (1.0), revenue growth of 25.5% (1.0) and 5yr revenue CAGR of about 24% (1.0, 2x weight) exceed targets [1]. ROE of 4.7% scores 0.31 (2x weight), profit margin of 3.7% scores 0.18, and forward P/E of 171 scores 0. Weighted 4.80 of 8 gives 6. Daily dollar volume of about $14B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Tesla has a durable, bold cause in sustainable energy and has repeatedly made costly long-term bets, shifting now toward autonomy and robotics. Sinek would question the instability of leadership beneath the founder and a combative competitive posture.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sustainable-energy mission has driven decisions for two decades, though the story now leans on autonomy and Optimus, and it is heavily tied to one founder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66% turnover among Musk's direct reports since 2021, repeated Optimus and AI leadership exits, and warnings to remaining workers indicate low psychological safety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messaging emphasizes dominance and dismisses legacy competitors rather than learning from them.</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willing to pivot from car sales toward robotaxi and humanoid robots, cannibalizing a vehicle-centric model [2].</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capex surged 142% to $5.79B in Q2 2026, with free cash flow at -$1.09B, as Tesla funds autonomy and AI infrastructure despite a 1.4% operating margin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Tesla at $370.59 posted record Q2 2026 revenue of $28.24B (+26% YoY) on record deliveries of 480,126 (+25%), with energy storage up 13% to $3.14B and services up 50% to $4.58B [1]. The company is building optionality in robotaxi and Optimus, with a net-cash balance sheet (D/E 18.4%) funding the build-out [1][2].</w:t>
      </w:r>
    </w:p>
    <w:p>
      <w:pPr>
        <w:spacing w:after="120"/>
      </w:pPr>
      <w:r>
        <w:rPr>
          <w:rFonts w:ascii="Calibri" w:hAnsi="Calibri"/>
          <w:b w:val="0"/>
          <w:color w:val="3A4A28"/>
          <w:sz w:val="20"/>
        </w:rPr>
        <w:t>The bear case is valuation and profitability: forward P/E is 171x, profit margin is 3.7%, GAAP operating income fell 57% to $398M (1.4% margin), non-GAAP EPS of $0.33 missed $0.53 estimates, and free cash flow turned negative at -$1.09B as capex rose 142% [1]. Optimus is reportedly lagging internal timelines, executive turnover is high, and autonomy competition from Waymo and Chinese EV makers is intensifying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Robotaxi expansion and FSD monetization lifting high-margin services revenue beyond $4.58B quarterly [1][2]</w:t>
      </w:r>
    </w:p>
    <w:p>
      <w:pPr>
        <w:spacing w:before="40" w:after="40"/>
        <w:ind w:left="283"/>
      </w:pPr>
      <w:r>
        <w:rPr>
          <w:rFonts w:ascii="Calibri" w:hAnsi="Calibri"/>
          <w:b/>
          <w:color w:val="4A6B25"/>
          <w:sz w:val="20"/>
        </w:rPr>
        <w:t xml:space="preserve">2. </w:t>
      </w:r>
      <w:r>
        <w:rPr>
          <w:rFonts w:ascii="Calibri" w:hAnsi="Calibri"/>
          <w:b w:val="0"/>
          <w:color w:val="3A4A28"/>
          <w:sz w:val="20"/>
        </w:rPr>
        <w:t>Energy storage growth above 13% diversifying away from vehicle cycles [1]</w:t>
      </w:r>
    </w:p>
    <w:p>
      <w:pPr>
        <w:spacing w:before="40" w:after="40"/>
        <w:ind w:left="283"/>
      </w:pPr>
      <w:r>
        <w:rPr>
          <w:rFonts w:ascii="Calibri" w:hAnsi="Calibri"/>
          <w:b/>
          <w:color w:val="4A6B25"/>
          <w:sz w:val="20"/>
        </w:rPr>
        <w:t xml:space="preserve">3. </w:t>
      </w:r>
      <w:r>
        <w:rPr>
          <w:rFonts w:ascii="Calibri" w:hAnsi="Calibri"/>
          <w:b w:val="0"/>
          <w:color w:val="3A4A28"/>
          <w:sz w:val="20"/>
        </w:rPr>
        <w:t>Optimus public availability targeted for late 2027 with potential new revenue category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Margin compression with operating margin at 1.4% and negative free cash flow as capex runs at $5.79B per quarter [1]</w:t>
      </w:r>
    </w:p>
    <w:p>
      <w:pPr>
        <w:spacing w:before="40" w:after="40"/>
        <w:ind w:left="283"/>
      </w:pPr>
      <w:r>
        <w:rPr>
          <w:rFonts w:ascii="Calibri" w:hAnsi="Calibri"/>
          <w:b/>
          <w:color w:val="4A6B25"/>
          <w:sz w:val="20"/>
        </w:rPr>
        <w:t xml:space="preserve">2. </w:t>
      </w:r>
      <w:r>
        <w:rPr>
          <w:rFonts w:ascii="Calibri" w:hAnsi="Calibri"/>
          <w:b w:val="0"/>
          <w:color w:val="3A4A28"/>
          <w:sz w:val="20"/>
        </w:rPr>
        <w:t>Valuation at 171x forward earnings leaves no room for autonomy or Optimus delays [1][2]</w:t>
      </w:r>
    </w:p>
    <w:p>
      <w:pPr>
        <w:spacing w:before="40" w:after="40"/>
        <w:ind w:left="283"/>
      </w:pPr>
      <w:r>
        <w:rPr>
          <w:rFonts w:ascii="Calibri" w:hAnsi="Calibri"/>
          <w:b/>
          <w:color w:val="4A6B25"/>
          <w:sz w:val="20"/>
        </w:rPr>
        <w:t xml:space="preserve">3. </w:t>
      </w:r>
      <w:r>
        <w:rPr>
          <w:rFonts w:ascii="Calibri" w:hAnsi="Calibri"/>
          <w:b w:val="0"/>
          <w:color w:val="3A4A28"/>
          <w:sz w:val="20"/>
        </w:rPr>
        <w:t>Leadership turnover (66% of Musk's direct reports since 2021) and key-person dependence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Tesla's core business is physical (vehicles, batteries, factories), which AI cannot substitute, and autonomy is an enabler that could expand services revenue. Risk comes from competitors in autonomy such as Waymo and Chinese EV makers, and from execution risk on robotaxi and Optimus [2]. AI Opportunity (1/1): FSD subscriptions and services and other revenue of $4.58B (+50% YoY) include AI-driven offerings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Tesla Q2 2026 results, Electrek / CNBC / Yahoo Finance / SEC 8-K, July 22, 2026</w:t>
      </w:r>
    </w:p>
    <w:p>
      <w:pPr>
        <w:spacing w:before="20" w:after="20"/>
        <w:ind w:left="170"/>
      </w:pPr>
      <w:r>
        <w:rPr>
          <w:rFonts w:ascii="Calibri" w:hAnsi="Calibri"/>
          <w:b/>
          <w:color w:val="4A6B25"/>
          <w:sz w:val="15"/>
        </w:rPr>
        <w:t xml:space="preserve">2. </w:t>
      </w:r>
      <w:r>
        <w:rPr>
          <w:rFonts w:ascii="Calibri" w:hAnsi="Calibri"/>
          <w:b w:val="0"/>
          <w:color w:val="3A4A28"/>
          <w:sz w:val="17"/>
        </w:rPr>
        <w:t>Tesla leadership, AI and robotaxi coverage, Yahoo Finance / Fortune / Electrek / Futurism,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TSLA key statistics,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