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TSLX</w:t>
      </w:r>
      <w:r>
        <w:rPr>
          <w:rFonts w:ascii="Calibri" w:hAnsi="Calibri"/>
          <w:b/>
          <w:color w:val="1A2010"/>
          <w:sz w:val="40"/>
        </w:rPr>
        <w:t xml:space="preserve">  Sixth Street Specialty Lending, Inc.</w:t>
      </w:r>
    </w:p>
    <w:p>
      <w:pPr>
        <w:spacing w:after="120"/>
      </w:pPr>
      <w:r>
        <w:rPr>
          <w:rFonts w:ascii="Calibri" w:hAnsi="Calibri"/>
          <w:b/>
          <w:color w:val="6E8450"/>
          <w:sz w:val="18"/>
        </w:rPr>
        <w:t>DIVIDEND SLEEVE · 2026-10-01 · Inspire: 21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NYSE · United States</w:t>
      </w:r>
    </w:p>
    <w:p>
      <w:pPr>
        <w:spacing w:after="80"/>
      </w:pPr>
      <w:r>
        <w:rPr>
          <w:rFonts w:ascii="Calibri" w:hAnsi="Calibri"/>
          <w:b w:val="0"/>
          <w:color w:val="3A4A28"/>
          <w:sz w:val="20"/>
        </w:rPr>
        <w:t>Sixth Street Specialty Lending, Inc. is a business development company (BDC) focused on lending to middle-market companies through direct originations of senior secured loans and other credit investments. Externally managed by Sixth Street Partners (~$80B+ AUM), TSLX primarily provides first-lien term loans to U.S. middle-market businesses. Q2 2026 revenue of $97.8M declined 14.9% YoY as lower rates compressed net investment income. Trades at 1.11x book value with a 9.32% dividend yield.</w:t>
      </w:r>
    </w:p>
    <w:p>
      <w:r>
        <w:rPr>
          <w:rFonts w:ascii="Calibri" w:hAnsi="Calibri"/>
          <w:b/>
          <w:color w:val="6E8450"/>
          <w:sz w:val="18"/>
        </w:rPr>
        <w:t>100 Employees · https://www.sixthstreetspecialtylending.com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Sixth Street has grown its platform from a TPG spinout to an independent $80B+ AUM alternative credit manager, and TSLX has evolved its portfolio mix toward larger first-lien positions and selectively entered asset-backed lending [1]. The appointment of Robert Stanley as Co-CEO in November 2025 signals succession planning. However, the core BDC business model of originating secured loans to middle-market companies has remained fundamentally unchanged since the 2014 IPO. AI Deployment (0/2): No evidence of AI-powered products or quantified AI-driven efficiency gains. Credit underwriting and portfolio management remain primarily human-judgment processes with no AI tools discussed in earnings calls or stakeholder letters [2]. Market Share (1/2): Sixth Street Partners is a respected middle-market direct lender, and TSLX trades at 1.11x book value versus many BDC peers at or below book, reflecting above-average credit quality reputation [3]. However, the direct lending market is highly fragmented with no single dominant player; ARCC, MAIN, and ORCC all compete for similar deals. Product Pipeline (0/2): No new product categories, fund structures, or market expansions announced. The revolver maturity extension to 2031 provides funding continuity but is not a next-generation product [1]. R&amp;D Intensity (0/1): BDCs do not have traditional R&amp;D programs; competitive advantage derives from deal sourcing networks and credit underwriting quality.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Sixth Street's purpose centers on being an 'investor-first' specialty lender generating attractive risk-adjusted returns through disciplined direct lending [2]. The March 2026 stakeholder letter emphasized navigating volatility through liquidity discipline, which is prudent and specific to the firm's approach but ultimately about financial returns rather than a broader societal purpose. The mission is more specific than boilerplate but not transformative. Community Impact (0/2): No evidence of charitable giving, community programs, or philanthropic investment beyond the core commercial function of providing capital to middle-market businesses. Parent firm Sixth Street is a PRI signatory, but this reflects responsible investment practices, not community charitable impact [4]. Employee Retention (1/2): The Co-CEO appointment of Robert Stanley alongside Joshua Easterly suggests thoughtful succession planning, and key investment professionals (Ian Simmonds, Craig Hamrah, Mike Fishman) have been with the Sixth Street platform for years, indicating leadership stability [2]. However, as an externally managed BDC with ~100 employees, detailed retention data is unavailable. Insider Buying (0/2): No specific personal insider buying data identified. Co-investment provisions are standard for BDC structures but represent structural alignment, not personal conviction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TSLX's forward P/E of 9.85 (score 1.0) and profit margin of 21.8% (score 1.0) score at target levels, reflecting attractive BDC valuation and inherent lending profitability [1][3]. The 5-year revenue CAGR of ~9.3% demonstrates solid historical growth (score 0.95). However, Q2 2026 revenue declined 14.9% YoY to $97.8M as lower rates compressed net investment income (score 0.17), and TTM ROE of 5.63% is well below the 15% target (score 0.38) [1]. D/E of 124% (1.24x leverage) is typical for a BDC but above the 70% target (score 0.76). GAAP payout ratio of 201% scores 0.0 — BDCs distribute substantially all taxable income but GAAP earnings differ from distributable earnings. Consecutive years paid of 12 since IPO scores 1.0 at 2x weight. The base dividend was reduced from $0.49 to $0.42 in 2026, limiting growth metrics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Sixth Street Specialty Lending operates with disciplined, investor-first principles that prioritize credit quality over growth — an inherently prudent orientation. The Co-CEO succession and conservative underwriting through market cycles suggest long-term thinking. However, BDCs are fundamentally fee-generating vehicles for external managers, creating structural tension between investor and manager interests, and the core purpose of maximizing risk-adjusted returns is a financial objective rather than a Just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Sixth Street's purpose of being an investor-first specialty lender is genuine and consistently articulated, including the March 2026 stakeholder letter emphasizing liquidity discipline through market volatility [2]. However, 'generating attractive risk-adjusted returns through disciplined lending' is a financial objective, not a Just Cause — it describes what the company does, not a vision of a better future that inspires sacrifice. Sinek would note this is a classic finite-game purpose: measurable, bounded, and self-serving.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Co-CEO appointment of Robert Stanley alongside Joshua Easterly in November 2025 demonstrates collaborative leadership and thoughtful succession planning [2]. Key team members have long tenure with the Sixth Street platform, and the firm's 'One Team' culture suggests internal cohesion. However, as an externally managed BDC with ~100 employees, the organization is small and the external management structure means the team primarily serves Sixth Street Partners' broader interests.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acknowledging competitor strengths or using competitive dynamics for self-improvement. The stakeholder letter discusses wider origination spreads during volatility as opportunities for disciplined lenders, framing competition as an environment to exploit rather than a source of learning [2]. The BDC industry is fragmented, and Sixth Street's competitive positioning emphasizes its own discipline rather than improvement driven by worthy rivals.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 core BDC model of originating senior secured middle-market loans has remained constant since the 2014 IPO [1]. Portfolio mix has evolved across sectors and leverage has adjusted through rate cycles, but these are incremental adaptations within the same business model, not transformative pivots. No evidence the company has faced or passed the test of abandoning a profitable approach in service of a larger purpose.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Sixth Street demonstrated discipline through the rate cycle — maintaining credit quality standards even as competitors loosened underwriting to deploy capital, resulting in lower non-accrual rates than BDC peers [2]. The decision to reduce the base dividend from $0.49 to $0.42 rather than overdistribute from capital shows honest, long-term capital stewardship. However, investment decisions are fundamentally return-driven rather than cause-driven.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TSLX offers a defensive income proposition as a well-managed BDC trading at 1.11x book value with a 9.32% dividend yield, supported by a forward P/E of 9.85 and experienced Co-CEO team of Joshua Easterly and Robert Stanley [2][3]. The portfolio's first-lien concentration (~90%) provides structural downside protection, and the firm's credit quality has consistently outperformed BDC peers with lower non-accrual rates. The revolver maturity extension to 2031 provides multi-year funding visibility, and Sixth Street's 'investor-first' philosophy of disciplined underwriting through market cycles positions the portfolio for selective deployment at wider spreads as volatility creates opportunities [2].</w:t>
      </w:r>
    </w:p>
    <w:p>
      <w:pPr>
        <w:spacing w:after="120"/>
      </w:pPr>
      <w:r>
        <w:rPr>
          <w:rFonts w:ascii="Calibri" w:hAnsi="Calibri"/>
          <w:b w:val="0"/>
          <w:color w:val="3A4A28"/>
          <w:sz w:val="20"/>
        </w:rPr>
        <w:t>The primary concern is the structural revenue decline — Q2 2026 revenue fell 14.9% YoY to $97.8M as lower interest rates compress net investment income across the BDC sector, and the base dividend was cut 14% from $0.49 to $0.42, signaling management expects the lower-rate environment to persist [1]. TTM ROE of 5.63% is well below the 15% target, and the GAAP payout ratio of 201% indicates the current dividend exceeds GAAP earnings — sustainable only because BDC distributable earnings differ from GAAP net income. The external management structure creates an inherent conflict, as Sixth Street Partners earns management and incentive fees regardless of stock performance. Credit risk is the existential concern — a recession could drive non-accruals higher across the middle-market portfolio, pressuring both NAV and distributable income. Earnings declined 32.1% YoY, and analyst consensus projects only modest recovery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9.85 and 9.32% dividend yield create a compelling income value proposition if interest rates stabilize, with first-lien portfolio concentration providing downside protection through a credit cycle [3]</w:t>
      </w:r>
    </w:p>
    <w:p>
      <w:pPr>
        <w:spacing w:before="40" w:after="40"/>
        <w:ind w:left="283"/>
      </w:pPr>
      <w:r>
        <w:rPr>
          <w:rFonts w:ascii="Calibri" w:hAnsi="Calibri"/>
          <w:b/>
          <w:color w:val="4A6B25"/>
          <w:sz w:val="20"/>
        </w:rPr>
        <w:t xml:space="preserve">2. </w:t>
      </w:r>
      <w:r>
        <w:rPr>
          <w:rFonts w:ascii="Calibri" w:hAnsi="Calibri"/>
          <w:b w:val="0"/>
          <w:color w:val="3A4A28"/>
          <w:sz w:val="20"/>
        </w:rPr>
        <w:t>Wider origination spreads during market volatility benefit disciplined lenders — management's patient deployment approach positions TSLX to capitalize on dislocations [2]</w:t>
      </w:r>
    </w:p>
    <w:p>
      <w:pPr>
        <w:spacing w:before="40" w:after="40"/>
        <w:ind w:left="283"/>
      </w:pPr>
      <w:r>
        <w:rPr>
          <w:rFonts w:ascii="Calibri" w:hAnsi="Calibri"/>
          <w:b/>
          <w:color w:val="4A6B25"/>
          <w:sz w:val="20"/>
        </w:rPr>
        <w:t xml:space="preserve">3. </w:t>
      </w:r>
      <w:r>
        <w:rPr>
          <w:rFonts w:ascii="Calibri" w:hAnsi="Calibri"/>
          <w:b w:val="0"/>
          <w:color w:val="3A4A28"/>
          <w:sz w:val="20"/>
        </w:rPr>
        <w:t>Co-CEO succession structure ensures leadership continuity and deepens the management bench for the Sixth Street platform, with revolver maturity extended to 2031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declined 14.9% YoY and base dividend was cut 14% from $0.49 to $0.42, reflecting structural NII compression as interest rates normalize from 2023-2024 peaks [1]</w:t>
      </w:r>
    </w:p>
    <w:p>
      <w:pPr>
        <w:spacing w:before="40" w:after="40"/>
        <w:ind w:left="283"/>
      </w:pPr>
      <w:r>
        <w:rPr>
          <w:rFonts w:ascii="Calibri" w:hAnsi="Calibri"/>
          <w:b/>
          <w:color w:val="4A6B25"/>
          <w:sz w:val="20"/>
        </w:rPr>
        <w:t xml:space="preserve">2. </w:t>
      </w:r>
      <w:r>
        <w:rPr>
          <w:rFonts w:ascii="Calibri" w:hAnsi="Calibri"/>
          <w:b w:val="0"/>
          <w:color w:val="3A4A28"/>
          <w:sz w:val="20"/>
        </w:rPr>
        <w:t>External management structure creates inherent conflicts — Sixth Street Partners earns management and incentive fees regardless of stock price performance, misaligning manager and shareholder interests</w:t>
      </w:r>
    </w:p>
    <w:p>
      <w:pPr>
        <w:spacing w:before="40" w:after="40"/>
        <w:ind w:left="283"/>
      </w:pPr>
      <w:r>
        <w:rPr>
          <w:rFonts w:ascii="Calibri" w:hAnsi="Calibri"/>
          <w:b/>
          <w:color w:val="4A6B25"/>
          <w:sz w:val="20"/>
        </w:rPr>
        <w:t xml:space="preserve">3. </w:t>
      </w:r>
      <w:r>
        <w:rPr>
          <w:rFonts w:ascii="Calibri" w:hAnsi="Calibri"/>
          <w:b w:val="0"/>
          <w:color w:val="3A4A28"/>
          <w:sz w:val="20"/>
        </w:rPr>
        <w:t>Credit cycle risk in middle-market lending — a recession could drive non-accruals higher, and AI disruption of borrower companies in vulnerable sectors could pressure portfolio credit quality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Direct lending to middle-market companies is substantially protected from AI disruption — credit underwriting requires human judgment on management quality, industry dynamics, and covenant structuring that AI cannot fully replicate [2]. Relationship-based deal sourcing through the Sixth Street network creates a moat against automated lending platforms. However, AI is increasingly deployed in credit analysis and loan screening by competitors, which could erode analytical edges. More significantly, AI disruption of TSLX's borrower companies could increase credit losses — middle-market businesses in AI-vulnerable sectors (professional services, media, software) may face earnings pressure. Management views AI as creating 'wider origination spreads' benefiting disciplined lenders but acknowledges fundamental technology-driven shifts in portfolio risk assessment [2]. AI Opportunity (0/1): No AI-generated revenue. TSLX does not sell AI products or services, and no quantified AI-driven operational efficiency gains have been reported.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21</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Sixth Street Specialty Lending Q1-Q2 2026 Earnings — Yahoo Finance, Investing.com, StockStory, 2026</w:t>
      </w:r>
    </w:p>
    <w:p>
      <w:pPr>
        <w:spacing w:before="20" w:after="20"/>
        <w:ind w:left="170"/>
      </w:pPr>
      <w:r>
        <w:rPr>
          <w:rFonts w:ascii="Calibri" w:hAnsi="Calibri"/>
          <w:b/>
          <w:color w:val="4A6B25"/>
          <w:sz w:val="15"/>
        </w:rPr>
        <w:t xml:space="preserve">2. </w:t>
      </w:r>
      <w:r>
        <w:rPr>
          <w:rFonts w:ascii="Calibri" w:hAnsi="Calibri"/>
          <w:b w:val="0"/>
          <w:color w:val="3A4A28"/>
          <w:sz w:val="17"/>
        </w:rPr>
        <w:t>Sixth Street March 2026 Stakeholder Letter; Co-CEO Appointment — Yahoo Finance, Seeking Alpha,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TSLX Key Statistics and Financial Data,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Sixth Street Partners Responsible Investment Policy — sixthstreet.com</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