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UBER</w:t>
      </w:r>
      <w:r>
        <w:rPr>
          <w:rFonts w:ascii="Calibri" w:hAnsi="Calibri"/>
          <w:b/>
          <w:color w:val="1A2010"/>
          <w:sz w:val="40"/>
        </w:rPr>
        <w:t xml:space="preserve">  Uber Technologies, Inc.</w:t>
      </w:r>
    </w:p>
    <w:p>
      <w:pPr>
        <w:spacing w:after="120"/>
      </w:pPr>
      <w:r>
        <w:rPr>
          <w:rFonts w:ascii="Calibri" w:hAnsi="Calibri"/>
          <w:b/>
          <w:color w:val="6E8450"/>
          <w:sz w:val="18"/>
        </w:rPr>
        <w:t>GROWTH SLEEVE · 2026-10-09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NYQ · United States</w:t>
      </w:r>
    </w:p>
    <w:p>
      <w:pPr>
        <w:spacing w:after="80"/>
      </w:pPr>
      <w:r>
        <w:rPr>
          <w:rFonts w:ascii="Calibri" w:hAnsi="Calibri"/>
          <w:b w:val="0"/>
          <w:color w:val="3A4A28"/>
          <w:sz w:val="20"/>
        </w:rPr>
        <w:t>Uber Technologies operates the world's largest ride-hailing and delivery marketplace across Mobility, Delivery, and Freight segments under CEO Dara Khosrowshahi. Q2 2026 delivered gross bookings of $58.0B (+24% YoY), revenue of $14.2B (+12% YoY), Adjusted EBITDA of $2.8B (+33%), and TTM free cash flow surpassing $10B for the first time. The company has positioned itself as the aggregation layer for autonomous mobility through partnerships with Waymo (live in Austin/Atlanta), Lucid/Nuro, and Stellantis/Pony.ai.</w:t>
      </w:r>
    </w:p>
    <w:p>
      <w:r>
        <w:rPr>
          <w:rFonts w:ascii="Calibri" w:hAnsi="Calibri"/>
          <w:b/>
          <w:color w:val="6E8450"/>
          <w:sz w:val="18"/>
        </w:rPr>
        <w:t>36,600 Employees · https://www.uber.com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Uber executed a significant multi-year transformation from a cash-burning disruptor losing $3B annually to a diversified mobility-delivery-freight platform generating $10B+ TTM free cash flow, while scaling Uber Eats to ~35% of gross bookings and launching a rapidly growing advertising business [1]. However, the core marketplace model remains fundamentally unchanged — this is operational transformation rather than paradigm-shifting reinvention. AI Deployment (1/2): Uber deploys AI extensively across dynamic pricing, ETA optimization, driver-rider matching, and fraud detection, with Adjusted EBITDA margin expanding from 4.5% to 4.9% of Gross Bookings YoY, partly attributable to algorithmic efficiency [1]. Waymo robotaxis are live on the platform in Austin and Atlanta, though Uber didn't build the AV technology. Market Share (2/2): Uber commands approximately 70% of U.S. rideshare market share and is the dominant global ride-hailing platform, with Q2 2026 Gross Bookings of $58.0B (+24% YoY) and 3.9B trips (+18% YoY) demonstrating continued demand aggregation dominance [1]. Product Pipeline (1/2): AV partnerships with Waymo, Lucid/Nuro (20,000+ robotaxis), and Stellantis/Pony.ai (up to 50,000 vehicles) provide named commitments, but specific revenue timelines for AV-driven bookings remain uncertain and the 10+ robotaxi market expansion target lacks firm dates [2]. R&amp;D Intensity (1/1): Uber's research and development spending runs approximately 10-12% of revenue, at or slightly above the average for software-application companies.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Uber's mission — 'We reimagine the way the world moves for the better' — is clear and connects mobility to societal benefit, but reads as functional rather than deeply distinctive or transformative; it does not articulate a bold future state that Sinek would call a Just Cause, and is interchangeable with any large mobility company's aspiration [2]. Community Impact (1/2): Uber Health provides non-emergency medical transportation for healthcare systems, and the company has carbon-reduction commitments, but there is no major corporate foundation or distinctive community investment with specific dollar amounts. Uber dropped its ESG modifier from executive compensation and reduced climate disclosures in 2025 [3]. Employee Retention (1/2): Khosrowshahi's cultural transformation since 2017 — including the internal 'Why We Suck' assessment and focus on driver experience — markedly improved corporate culture from the Kalanick era, but no specific voluntary turnover rates or average tenure data are publicly available to quantify the improvement [2]. Insider Buying (0/2): No evidence of meaningful net insider buying by CEO Khosrowshahi or senior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of 51.9% is well below the 70% target (score 1.0), reflecting manageable leverage with $14.7B debt against $5.4B cash and $10B+ TTM FCF [1]. ROE of 37.2% far exceeds the 15% target (score 1.0, 2x weight). Revenue growth of 12.2% YoY exceeds the 10% target (score 1.0), while the 5-year revenue CAGR of approximately 26% (from ~$17.5B in 2021 to $55.2B TTM) far surpasses the 10% target (score 1.0, 2x weight). Forward P/E of 15.9 is well below the 20 target (score 1.0), representing attractive earnings valuation. Profit margin of 17.3% falls short of the 20% target (score 0.87). The PEG ratio of 5.84 significantly exceeds the 3.0 floor (score 0.0, 2x weight), reflecting modest long-term earnings growth expectations as the platform matures — this is the primary drag on the infrastructure score. Daily dollar volume of $1.27B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Uber under Khosrowshahi exhibits a mixed infinite-finite orientation. The cultural transformation from the toxic Kalanick era, the strategic decision to sell ATG and instead partner with AV operators, and the discipline required to turn a $3B annual cash burner into a $10B+ FCF generator demonstrate real leadership courage. However, Uber lacks a deeply differentiated Just Cause — decisions are driven by market pragmatism rather than enduring purpose — and the gig-economy labor model creates inherent tension with Sinek's trust principles.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Uber's 'reimagine the way the world moves for the better' is aspirational but functions more as a tagline than a genuine Just Cause [2]. The company's founding-era history of aggressive regulatory arbitrage and $200M Proposition 22 lobbying to maintain independent-contractor driver status suggests strategic decisions are market-opportunity-driven rather than cause-driven. Leadership references financial milestones (TTM FCF, bookings growth) rather than purpose when describing strategic direction.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Khosrowshahi's cultural overhaul — including the 'Why We Suck' internal assessment, refocusing on driver experience, and nine years of stable leadership — represents genuine improvement from the Kalanick-era toxicity [2]. However, the gig-economy model means Uber's largest workforce (millions of drivers and couriers) operates outside any Circle of Safety — classified as independent contractors with limited benefits or organizational voice, a fundamental tension with Sinek's trust framework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Rather than fighting Waymo — a potential existential threat to the driver-based model — Uber integrated Waymo robotaxis directly onto its platform, a textbook example of treating a formidable rival's strengths as an opportunity to improve rather than a threat to destroy [2]. The company's competitive language focuses on platform improvement and demand aggregation rather than 'crushing' Lyft or DoorDash.</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Uber has meaningfully evolved its business model — scaling delivery to ~35% of gross bookings, launching freight and advertising, and positioning as an AV aggregation platform [1]. The sale of ATG and embrace of Waymo shows willingness to abandon an internal capability. However, the core marketplace model remains fundamentally unchanged, and the AV platform strategy is still in early stages; Uber has not yet executed the kind of complete self-reinvention (like Apple's Mac-to-iPhone pivot) that warrants full marks.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Khosrowshahi demonstrates a pattern of costly long-term bets: selling the $7.5B autonomous technology group to Aurora and pivoting to a partnership model that leveraged others' capabilities rather than chasing sunk costs; proactively inviting Waymo onto the Uber platform despite the risk of commoditizing Uber's core driver-based marketplace; and imposing profitability discipline that required significant headcount reductions and initiative cuts to transform a $3B annual cash burner into a $10B+ FCF generator [1][2]. Each decision sacrificed near-term optionality or comfort for long-term platform relevance.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Uber at $70.24 with a $143B market cap is a maturing platform business trading at a compelling 15.9x forward earnings while generating $10B+ TTM free cash flow — a milestone reached in Q2 2026 [1]. Gross Bookings grew 24% YoY to $58.0B with 3.9B trips (+18%), Adjusted EBITDA expanded 33% to $2.8B (4.9% of Gross Bookings), and Q3 2026 guidance of $58.25B-$60.25B in Gross Bookings with $2.86B-$2.96B Adjusted EBITDA signals sustained momentum [1]. The multi-modal platform spanning Mobility, Delivery, Freight, and a rapidly growing advertising business provides revenue diversification, while ROE of 37.2% and D/E of 51.9% reflect strong capital efficiency with manageable leverage. Most distinctively, Uber has turned autonomous vehicles from an existential threat into a growth vector through partnerships with Waymo, Lucid/Nuro (20,000+ vehicles), and Stellantis/Pony.ai (up to 50,000 vehicles) [2].</w:t>
      </w:r>
    </w:p>
    <w:p>
      <w:pPr>
        <w:spacing w:after="120"/>
      </w:pPr>
      <w:r>
        <w:rPr>
          <w:rFonts w:ascii="Calibri" w:hAnsi="Calibri"/>
          <w:b w:val="0"/>
          <w:color w:val="3A4A28"/>
          <w:sz w:val="20"/>
        </w:rPr>
        <w:t>The bear case centers on decelerating growth and AV uncertainty. Revenue growth of 12% YoY was depressed by 8 percentage points from business model accounting changes, but even the underlying ~20% growth rate is slowing as the platform matures [1]. The PEG ratio of 5.84 reflects analyst expectations of only ~3% long-term earnings growth, suggesting the market sees limited upside from profitability expansion beyond current levels. Q2 GAAP net income of $2.4B was inflated by $1.6B in equity investment revaluation gains, making core operating earnings lower than headlines suggest. The AV opportunity that powers the bull case is also the bear case — if Waymo achieves sufficient direct-to-consumer brand strength and geographic coverage, it could bypass Uber's aggregation layer entirely, and Khosrowshahi's own 20-year timeline for robots handling 'the majority of trips' underscores the structural uncertainty [2]. Gig-worker reclassification across major jurisdictions remains a persistent overhang on margins [3]. The Inspire Impact Score of -67 (MISALIGNED) constrains allocation from faith-based investors despite otherwise strong operational metrics.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TTM free cash flow exceeding $10B for the first time enables accelerating capital returns, strategic M&amp;A, and continued AV platform investment while Adjusted EBITDA margin expands from 4.5% to 4.9% of Gross Bookings [1]</w:t>
      </w:r>
    </w:p>
    <w:p>
      <w:pPr>
        <w:spacing w:before="40" w:after="40"/>
        <w:ind w:left="283"/>
      </w:pPr>
      <w:r>
        <w:rPr>
          <w:rFonts w:ascii="Calibri" w:hAnsi="Calibri"/>
          <w:b/>
          <w:color w:val="4A6B25"/>
          <w:sz w:val="20"/>
        </w:rPr>
        <w:t xml:space="preserve">2. </w:t>
      </w:r>
      <w:r>
        <w:rPr>
          <w:rFonts w:ascii="Calibri" w:hAnsi="Calibri"/>
          <w:b w:val="0"/>
          <w:color w:val="3A4A28"/>
          <w:sz w:val="20"/>
        </w:rPr>
        <w:t>Autonomous vehicle partnerships expanding from Waymo in Austin/Atlanta toward 10+ markets, with Lucid/Nuro (20,000+ vehicles) and Stellantis/Pony.ai (up to 50,000 vehicles) commitments scaling the AV aggregation growth vector [2]</w:t>
      </w:r>
    </w:p>
    <w:p>
      <w:pPr>
        <w:spacing w:before="40" w:after="40"/>
        <w:ind w:left="283"/>
      </w:pPr>
      <w:r>
        <w:rPr>
          <w:rFonts w:ascii="Calibri" w:hAnsi="Calibri"/>
          <w:b/>
          <w:color w:val="4A6B25"/>
          <w:sz w:val="20"/>
        </w:rPr>
        <w:t xml:space="preserve">3. </w:t>
      </w:r>
      <w:r>
        <w:rPr>
          <w:rFonts w:ascii="Calibri" w:hAnsi="Calibri"/>
          <w:b w:val="0"/>
          <w:color w:val="3A4A28"/>
          <w:sz w:val="20"/>
        </w:rPr>
        <w:t>Advertising platform growing rapidly on 3.9B quarterly trips and high-frequency consumer engagement data, creating a high-margin revenue stream with minimal incremental cost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Gig-worker reclassification risk across major markets — EU Platform Workers Directive, California precedent, and similar legislation could mandate employee status for drivers, adding 20-30% to labor costs and compressing margins structurally [3]</w:t>
      </w:r>
    </w:p>
    <w:p>
      <w:pPr>
        <w:spacing w:before="40" w:after="40"/>
        <w:ind w:left="283"/>
      </w:pPr>
      <w:r>
        <w:rPr>
          <w:rFonts w:ascii="Calibri" w:hAnsi="Calibri"/>
          <w:b/>
          <w:color w:val="4A6B25"/>
          <w:sz w:val="20"/>
        </w:rPr>
        <w:t xml:space="preserve">2. </w:t>
      </w:r>
      <w:r>
        <w:rPr>
          <w:rFonts w:ascii="Calibri" w:hAnsi="Calibri"/>
          <w:b w:val="0"/>
          <w:color w:val="3A4A28"/>
          <w:sz w:val="20"/>
        </w:rPr>
        <w:t>Long-term AV disintermediation if Waymo or other operators achieve sufficient direct-to-consumer scale to bypass Uber's marketplace — a risk CEO Khosrowshahi himself has flagged on a 20-year horizon [2]</w:t>
      </w:r>
    </w:p>
    <w:p>
      <w:pPr>
        <w:spacing w:before="40" w:after="40"/>
        <w:ind w:left="283"/>
      </w:pPr>
      <w:r>
        <w:rPr>
          <w:rFonts w:ascii="Calibri" w:hAnsi="Calibri"/>
          <w:b/>
          <w:color w:val="4A6B25"/>
          <w:sz w:val="20"/>
        </w:rPr>
        <w:t xml:space="preserve">3. </w:t>
      </w:r>
      <w:r>
        <w:rPr>
          <w:rFonts w:ascii="Calibri" w:hAnsi="Calibri"/>
          <w:b w:val="0"/>
          <w:color w:val="3A4A28"/>
          <w:sz w:val="20"/>
        </w:rPr>
        <w:t>PEG ratio of 5.84 signals analyst consensus of ~3% long-term earnings growth, suggesting limited upside from current profitability levels and potential multiple compression if growth decelerates further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Uber's core business involves physical-world logistics — transporting people and delivering goods — that AI cannot directly substitute, but autonomous vehicles represent a genuine structural disruptive threat to the driver-based marketplace model [2]. CEO Khosrowshahi himself has acknowledged robots could handle 'the majority of trips' within 20 years. Uber has proactively positioned as the demand-aggregation layer for AV operators (Waymo live in Austin/Atlanta, Lucid/Nuro 20,000+ vehicle commitment, Stellantis/Pony.ai up to 50,000 vehicles), which is a strong defensive strategy but does not eliminate the risk that a dominant AV operator could eventually bypass Uber's marketplace if it achieves sufficient consumer-facing scale [2]. This is PROTECTED rather than IMMUNE territory. AI Opportunity (1/1): Uber generates quantifiable bookings from live Waymo robotaxi trips on its platform in Austin and Atlanta, with expansion to 10+ markets targeted, and uses AI-powered dynamic pricing and the growing advertising platform to drive margin expansion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Uber Technologies Q2 2026 Earnings Press Release (SEC Form 8-K) — $14.2B Revenue (+12% YoY), $58.0B Gross Bookings (+24%), $2.8B Adjusted EBITDA (+33%), TTM FCF &gt;$10B, July 2026</w:t>
      </w:r>
    </w:p>
    <w:p>
      <w:pPr>
        <w:spacing w:before="20" w:after="20"/>
        <w:ind w:left="170"/>
      </w:pPr>
      <w:r>
        <w:rPr>
          <w:rFonts w:ascii="Calibri" w:hAnsi="Calibri"/>
          <w:b/>
          <w:color w:val="4A6B25"/>
          <w:sz w:val="15"/>
        </w:rPr>
        <w:t xml:space="preserve">2. </w:t>
      </w:r>
      <w:r>
        <w:rPr>
          <w:rFonts w:ascii="Calibri" w:hAnsi="Calibri"/>
          <w:b w:val="0"/>
          <w:color w:val="3A4A28"/>
          <w:sz w:val="17"/>
        </w:rPr>
        <w:t>Uber CEO Dara Khosrowshahi on AV Strategy, Waymo/Lucid-Nuro/Stellantis-Pony.ai Partnerships, Cultural Transformation — Fortune, Fast Company, Bloomberg, 2023-2026</w:t>
      </w:r>
    </w:p>
    <w:p>
      <w:pPr>
        <w:spacing w:before="20" w:after="20"/>
        <w:ind w:left="170"/>
      </w:pPr>
      <w:r>
        <w:rPr>
          <w:rFonts w:ascii="Calibri" w:hAnsi="Calibri"/>
          <w:b/>
          <w:color w:val="4A6B25"/>
          <w:sz w:val="15"/>
        </w:rPr>
        <w:t xml:space="preserve">3. </w:t>
      </w:r>
      <w:r>
        <w:rPr>
          <w:rFonts w:ascii="Calibri" w:hAnsi="Calibri"/>
          <w:b w:val="0"/>
          <w:color w:val="3A4A28"/>
          <w:sz w:val="17"/>
        </w:rPr>
        <w:t>Uber ESG and Labor Controversies — DEI Rollback, Climate Disclosure Reduction, Gig-Worker Classification Risk, Sustainalytics Rating — SF Examiner, Sustainalytics,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