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UBS</w:t>
      </w:r>
      <w:r>
        <w:rPr>
          <w:rFonts w:ascii="Calibri" w:hAnsi="Calibri"/>
          <w:b/>
          <w:color w:val="1A2010"/>
          <w:sz w:val="40"/>
        </w:rPr>
        <w:t xml:space="preserve">  UBS Group AG</w:t>
      </w:r>
    </w:p>
    <w:p>
      <w:pPr>
        <w:spacing w:after="120"/>
      </w:pPr>
      <w:r>
        <w:rPr>
          <w:rFonts w:ascii="Calibri" w:hAnsi="Calibri"/>
          <w:b/>
          <w:color w:val="6E8450"/>
          <w:sz w:val="18"/>
        </w:rPr>
        <w:t>GROWTH SLEEVE · 2026-09-08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Switzerland</w:t>
      </w:r>
    </w:p>
    <w:p>
      <w:pPr>
        <w:spacing w:after="80"/>
      </w:pPr>
      <w:r>
        <w:rPr>
          <w:rFonts w:ascii="Calibri" w:hAnsi="Calibri"/>
          <w:b w:val="0"/>
          <w:color w:val="3A4A28"/>
          <w:sz w:val="20"/>
        </w:rPr>
        <w:t>UBS Group AG is the world's largest wealth manager with over $6 trillion in invested assets, operating across four divisions: Global Wealth Management, Personal &amp; Corporate Banking, Asset Management, and the Investment Bank. Following the 2023 acquisition of Credit Suisse, UBS became the dominant Swiss universal bank with approximately 115,000 employees across 50+ countries. Q1 2026 delivered $3B net profit (+80% YoY) on CHF 13.6B revenue (+18%), while Q2 2026 produced $2.8B net profit with the Investment Bank achieving record Q2 revenues. All four divisions delivered double-digit profitability growth. CEO Sergio Ermotti is leading the CS integration to completion with 340 live AI use cases deployed across operations.</w:t>
      </w:r>
    </w:p>
    <w:p>
      <w:r>
        <w:rPr>
          <w:rFonts w:ascii="Calibri" w:hAnsi="Calibri"/>
          <w:b/>
          <w:color w:val="6E8450"/>
          <w:sz w:val="18"/>
        </w:rPr>
        <w:t>115,000 Employees · https://www.ubs.com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Credit Suisse acquisition was the largest banking merger since the financial crisis, transforming UBS into the undisputed global wealth management leader with $6T+ invested assets [1][2]. The integration is proving successful — Q1 2026 profit surged 80% YoY with all four divisions delivering double-digit profitability growth, and Q2 delivered the Investment Bank's record second quarter with profit more than doubling [1][3]. This was a transformative deal that opened major new revenue streams and redefined UBS's competitive position. AI Deployment (1/2): UBS has deployed 340 live AI use cases across business units, appointed Daniele Magazzeni as first Chief AI Officer (January 2026), completed AI leadership training for 1,300 senior executives, and is investing in 'large-scale transformational AI programs' to enhance client experience and unlock operational efficiency [4]. However, no specific AI revenue figures or quantified cost savings have been disclosed. Market Share (2/2): UBS is the world's largest wealth manager (#1 globally with $6T+ invested assets), attracted $37.4B in net new wealth management assets in Q1 2026 alone, and the Investment Bank achieved record Q2 revenues [1][3]. Product Pipeline (1/2): AI-powered advisory tools, digital platform enhancements, and integration milestones provide general visibility, but no specific next-generation financial products with named launch dates were identified [4]. R&amp;D Intensity (0/1): Banks do not report traditional R&amp;D metrics. UBS's technology spending is substantial but not demonstrably above peer G-SIB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UBS's purpose — 'Reimagining the power of investing. Connecting people for a better world' — is clear and connects investment management to broader societal impact, but remains somewhat generic for a wealth management firm and is interchangeable with peers [4]. Community Impact (1/2): UBS operates the Optimus Foundation, one of the world's largest philanthropic organizations housed within a bank, focused on health, education, and child protection. The bank has significant community investment programs though specific current-period dollar amounts were not identified [5]. Employee Retention (1/2): Post-Credit Suisse merger employee surveys show 'consistently strong positive feedback on people integration, strong team culture, and inclusive and collaborative work environment,' which is remarkable given the scale of integrating 50,000+ former Credit Suisse employees [4]. Leadership continuity under Ermotti is strong. Insider Buying (0/2): No evidence of meaningful net insider buying by CEO Sergio Ermotti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weights. UBS delivered outstanding financial results in H1 2026: Q1 revenue of CHF 13.6B (+18% YoY) with $3B net profit (+80%), and Q2 produced $2.8B net profit with record Investment Bank revenues [1][3]. Forward P/E of 12.29 provides excellent value below the 20x target (scoring 1.0). Revenue growth of 18% far exceeds the 10% target. PEG of ~1.12 scores well against the 1.0 target with 2x weight. Profit margin of 16.95% scores 0.848 against the 20% target. ROE of 10.16% is below the 15% target (scoring 0.677 with 2x weight), reflecting the massive capital base required for a G-SIB. D/E of 413% scores 0 mechanically as it exceeds the 300% floor, though this is structural banking leverage (deposits counted as liabilities) rather than distress — UBS's CET1 ratio of 14.7% reflects strong capitalization [1]. Liquidity passes at ~$96M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UBS under Sergio Ermotti demonstrates improving infinite-game characteristics, anchored by the courage to acquire and integrate Credit Suisse during a crisis. All four divisions delivering double-digit profitability growth validates the strategic conviction. The bank has a consistent wealth management identity spanning decades and a constructive competitive approach. However, its purpose remains more marketing than animating force, and the pre-Ermotti history of financial scandals (tax evasion, LIBOR manipulation) reveals an institution that sometimes prioritized short-term gains. The post-merger culture integration success suggests an improving trajectory.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UBS's purpose — 'Reimagining the power of investing. Connecting people for a better world' — reads as well-crafted corporate messaging rather than a deeply lived Just Cause [4]. While the wealth management identity has been consistent since the post-2008 strategic pivot, the company's decisions over the past two decades — tax evasion settlements, LIBOR manipulation penalties, and the Credit Suisse rescue — were driven by regulatory pressure and opportunity more than an animating purpose. The purpose does not clearly shape difficult strategic trade-offs.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Post-Credit Suisse merger employee surveys show strong positive feedback on integration, team culture, and collaborative work environment — a remarkable achievement given the complexity of merging two global banks with 115,000+ combined employees [4]. Ermotti has championed culture as a leadership priority. The 1,300 senior leaders completing AI training demonstrates investment in employee development. However, the banking industry's bonus-driven compensation structure and the inevitable uncertainty during a multi-year integration create inherent tension with full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UBS competes with Morgan Stanley, Goldman Sachs, and JPMorgan with an improvement orientation rather than a destruction mindset. Management focuses on building the world's best wealth management platform rather than defeating specific competitors [1][3]. The decision to rescue Credit Suisse — turning a failed rival into a growth platform rather than celebrating its collapse — reflects a constructive competitive approach that Sinek would recognize as infinite-game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UBS has undergone significant strategic reinvention — pivoting from a major investment banking franchise to a wealth management-led model after the 2008 crisis, then doubling down by absorbing Credit Suisse to become the world's dominant wealth manager [1]. These were meaningful strategic pivots. However, both were driven by market necessity (2008 losses, 2023 CS collapse) rather than voluntary abandonment of a profitable business in service of a Just Cause. The core identity — Swiss banking excellence — has remained constant.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Ermotti demonstrated exceptional courage in returning from retirement to lead the emergency Credit Suisse acquisition in 2023, taking on massive integration risk with a bank that had $54B in outflows the prior quarter [1][2]. The integration is now proving successful — Q1 2026 profit surged 80% and Q2 delivered record Investment Bank results with all divisions in double-digit growth. The decision to maintain mid-teens dividend growth commitments while simultaneously investing billions in integration and AI transformation shows a pattern of balancing long-term capability with current shareholder returns. This is a textbook example of costly long-term bets paying off.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UBS at 12.3x forward earnings is the world's largest wealth manager executing a once-in-a-generation integration that is proving successful. Q1 2026 delivered $3B net profit (+80% YoY) on CHF 13.6B revenue (+18%), while Q2 produced $2.8B net profit with record Investment Bank revenues and all four divisions in double-digit profitability growth [1][3]. Net new wealth management assets of $37.4B in Q1 demonstrate the platform's pull. The Forward P/E of 12.29 provides a significant margin of safety compared to US wealth management peers trading at 15-18x. The Credit Suisse integration is nearing completion with $13B in targeted cost synergies, providing a clear path to ROE improvement above 15% by 2027-2028. CEO Ermotti's leadership through the CS rescue has been validated by results. The bank has deployed 340 AI use cases with a dedicated Chief AI Officer [4]. The stock has appreciated 15% from $47.98 to $55.38 since the prior screen but remains reasonably valued.</w:t>
      </w:r>
    </w:p>
    <w:p>
      <w:pPr>
        <w:spacing w:after="120"/>
      </w:pPr>
      <w:r>
        <w:rPr>
          <w:rFonts w:ascii="Calibri" w:hAnsi="Calibri"/>
          <w:b w:val="0"/>
          <w:color w:val="3A4A28"/>
          <w:sz w:val="20"/>
        </w:rPr>
        <w:t>The bear case centers on structural banking headwinds and legacy risks. ROE of 10.16% remains below the 15% cost of equity for a globally systemically important bank, and D/E of 413% (structural banking leverage) amplifies downside to credit deterioration or AUM declines [1]. Swiss regulatory demands for higher capital buffers post-Credit Suisse could structurally constrain capital returns — the FINMA 'too big to fail' review creates uncertainty about future capital requirements. Revenue is heavily dependent on market levels and investor sentiment — a sustained equity bear market would compress wealth management fees and Investment Bank revenues simultaneously. Geographic concentration in Europe exposes UBS to slower economic growth versus US-centric peers. Unquantified litigation risks from the Credit Suisse legacy portfolio remain a tail risk [2]. The Inspire Impact Score of -49 (MISALIGNED) limits allocation for faith-based investors. The dividend yield of just 1.07% provides minimal income support despite mid-teens dividend growth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Suisse integration nearing completion with $13B in targeted cost synergies — realization is accelerating with H1 2026 showing all divisions in double-digit profitability growth, creating a clear path to 15%+ ROE by 2027-2028 [1][3]</w:t>
      </w:r>
    </w:p>
    <w:p>
      <w:pPr>
        <w:spacing w:before="40" w:after="40"/>
        <w:ind w:left="283"/>
      </w:pPr>
      <w:r>
        <w:rPr>
          <w:rFonts w:ascii="Calibri" w:hAnsi="Calibri"/>
          <w:b/>
          <w:color w:val="4A6B25"/>
          <w:sz w:val="20"/>
        </w:rPr>
        <w:t xml:space="preserve">2. </w:t>
      </w:r>
      <w:r>
        <w:rPr>
          <w:rFonts w:ascii="Calibri" w:hAnsi="Calibri"/>
          <w:b w:val="0"/>
          <w:color w:val="3A4A28"/>
          <w:sz w:val="20"/>
        </w:rPr>
        <w:t>Net new wealth management assets of $37.4B in Q1 2026 (3.1% annualized growth) plus Investment Bank record Q2 revenues demonstrate the combined platform's revenue-generating power [1][3]</w:t>
      </w:r>
    </w:p>
    <w:p>
      <w:pPr>
        <w:spacing w:before="40" w:after="40"/>
        <w:ind w:left="283"/>
      </w:pPr>
      <w:r>
        <w:rPr>
          <w:rFonts w:ascii="Calibri" w:hAnsi="Calibri"/>
          <w:b/>
          <w:color w:val="4A6B25"/>
          <w:sz w:val="20"/>
        </w:rPr>
        <w:t xml:space="preserve">3. </w:t>
      </w:r>
      <w:r>
        <w:rPr>
          <w:rFonts w:ascii="Calibri" w:hAnsi="Calibri"/>
          <w:b w:val="0"/>
          <w:color w:val="3A4A28"/>
          <w:sz w:val="20"/>
        </w:rPr>
        <w:t>AI transformation with 340 live use cases and first Chief AI Officer (January 2026) could unlock meaningful operational efficiency as integration costs roll off, boosting margins and ROE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10.16% remains below the 15% cost of equity despite record profits — any delay in synergy realization or regulatory capital increase from FINMA's too-big-to-fail review would extend this underperformance [1]</w:t>
      </w:r>
    </w:p>
    <w:p>
      <w:pPr>
        <w:spacing w:before="40" w:after="40"/>
        <w:ind w:left="283"/>
      </w:pPr>
      <w:r>
        <w:rPr>
          <w:rFonts w:ascii="Calibri" w:hAnsi="Calibri"/>
          <w:b/>
          <w:color w:val="4A6B25"/>
          <w:sz w:val="20"/>
        </w:rPr>
        <w:t xml:space="preserve">2. </w:t>
      </w:r>
      <w:r>
        <w:rPr>
          <w:rFonts w:ascii="Calibri" w:hAnsi="Calibri"/>
          <w:b w:val="0"/>
          <w:color w:val="3A4A28"/>
          <w:sz w:val="20"/>
        </w:rPr>
        <w:t>Market-dependent revenue model where a sustained equity bear market or wealth management AUM declines could compress fee income across all divisions, with D/E of 413% amplifying downside [1]</w:t>
      </w:r>
    </w:p>
    <w:p>
      <w:pPr>
        <w:spacing w:before="40" w:after="40"/>
        <w:ind w:left="283"/>
      </w:pPr>
      <w:r>
        <w:rPr>
          <w:rFonts w:ascii="Calibri" w:hAnsi="Calibri"/>
          <w:b/>
          <w:color w:val="4A6B25"/>
          <w:sz w:val="20"/>
        </w:rPr>
        <w:t xml:space="preserve">3. </w:t>
      </w:r>
      <w:r>
        <w:rPr>
          <w:rFonts w:ascii="Calibri" w:hAnsi="Calibri"/>
          <w:b w:val="0"/>
          <w:color w:val="3A4A28"/>
          <w:sz w:val="20"/>
        </w:rPr>
        <w:t>Credit Suisse legacy litigation and regulatory tail risks remain unquantified, with potential for unexpected charges from historical CS compliance failures, tax evasion investigations, and Archegos-related claims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UBS's core wealth management business serving ultra-high-net-worth clients is protected by deep relationship moats, regulatory complexity (banking licenses, AML/KYC compliance across 50+ countries), and the fundamental human trust required in managing $6T+ of personal wealth [1][4]. Physical branch infrastructure, cross-border tax planning, and estate structuring require nuanced human judgment that AI cannot replicate. Robo-advisors have existed for a decade without penetrating the UHNW segment. The Investment Bank's M&amp;A advisory, capital markets, and complex structured products also require institutional relationships and human expertise. However, AI-powered fintech platforms could compete for the lower wealth tiers, and AI-driven trading algorithms could compress margins in execution services. UBS itself acknowledges AI could cause 'customers to bypass bank-owned digital platforms' [4]. AI Opportunity (0/1): While UBS has 340 live AI use cases and a dedicated Chief AI Officer, no specific AI-driven revenue figures or quantified efficiency savings were disclosed — the programs are positioned as internal efficiency enablers rather than separately monetized products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UBS Q1 2026 Earnings — Net Profit $3B (+80% YoY), Revenue CHF 13.6B (+18%), NNA $37.4B, CET1 14.7% — ubs.com/SEC 6-K, April 2026</w:t>
      </w:r>
    </w:p>
    <w:p>
      <w:pPr>
        <w:spacing w:before="20" w:after="20"/>
        <w:ind w:left="170"/>
      </w:pPr>
      <w:r>
        <w:rPr>
          <w:rFonts w:ascii="Calibri" w:hAnsi="Calibri"/>
          <w:b/>
          <w:color w:val="4A6B25"/>
          <w:sz w:val="15"/>
        </w:rPr>
        <w:t xml:space="preserve">2. </w:t>
      </w:r>
      <w:r>
        <w:rPr>
          <w:rFonts w:ascii="Calibri" w:hAnsi="Calibri"/>
          <w:b w:val="0"/>
          <w:color w:val="3A4A28"/>
          <w:sz w:val="17"/>
        </w:rPr>
        <w:t>UBS Q2 2026 Earnings — Net Profit $2.8B, EPS $0.87, Investment Bank Record Q2, All Divisions Double-Digit Profitability Growth — Yahoo Finance/Investing.com,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UBS Credit Suisse Integration — Profit Surges 54% as Integration Nears Completion, $13B Cost Synergy Target — Investing.com, April 2026</w:t>
      </w:r>
    </w:p>
    <w:p>
      <w:pPr>
        <w:spacing w:before="20" w:after="20"/>
        <w:ind w:left="170"/>
      </w:pPr>
      <w:r>
        <w:rPr>
          <w:rFonts w:ascii="Calibri" w:hAnsi="Calibri"/>
          <w:b/>
          <w:color w:val="4A6B25"/>
          <w:sz w:val="15"/>
        </w:rPr>
        <w:t xml:space="preserve">4. </w:t>
      </w:r>
      <w:r>
        <w:rPr>
          <w:rFonts w:ascii="Calibri" w:hAnsi="Calibri"/>
          <w:b w:val="0"/>
          <w:color w:val="3A4A28"/>
          <w:sz w:val="17"/>
        </w:rPr>
        <w:t>UBS Innovation and AI — 340 Live AI Use Cases, Chief AI Officer Daniele Magazzeni (Jan 2026), 1,300 Senior Leaders AI Training, AI Programs for Efficiency — CIO Dive/ubs.com, 2025-2026</w:t>
      </w:r>
    </w:p>
    <w:p>
      <w:pPr>
        <w:spacing w:before="20" w:after="20"/>
        <w:ind w:left="170"/>
      </w:pPr>
      <w:r>
        <w:rPr>
          <w:rFonts w:ascii="Calibri" w:hAnsi="Calibri"/>
          <w:b/>
          <w:color w:val="4A6B25"/>
          <w:sz w:val="15"/>
        </w:rPr>
        <w:t xml:space="preserve">5. </w:t>
      </w:r>
      <w:r>
        <w:rPr>
          <w:rFonts w:ascii="Calibri" w:hAnsi="Calibri"/>
          <w:b w:val="0"/>
          <w:color w:val="3A4A28"/>
          <w:sz w:val="17"/>
        </w:rPr>
        <w:t>UBS ESG — MSCI AA (Leader), Sustainalytics Risk Score 19.7 (Low), ESG Label Review for Greenwashing Compliance — KnowESG/SwissInfo,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UBS Key Statistics: Forward P/E 12.29, D/E 413%, ROE 10.16%, Profit Margin 16.95%, Stock Price $55.38,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