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UDR</w:t>
      </w:r>
      <w:r>
        <w:rPr>
          <w:rFonts w:ascii="Calibri" w:hAnsi="Calibri"/>
          <w:b/>
          <w:color w:val="1A2010"/>
          <w:sz w:val="40"/>
        </w:rPr>
        <w:t xml:space="preserve">  UDR, Inc.</w:t>
      </w:r>
    </w:p>
    <w:p>
      <w:pPr>
        <w:spacing w:after="120"/>
      </w:pPr>
      <w:r>
        <w:rPr>
          <w:rFonts w:ascii="Calibri" w:hAnsi="Calibri"/>
          <w:b/>
          <w:color w:val="6E8450"/>
          <w:sz w:val="18"/>
        </w:rPr>
        <w:t>DIVIDEND SLEEVE · 2026-08-29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Residential REITs · NYSE · United States</w:t>
      </w:r>
    </w:p>
    <w:p>
      <w:pPr>
        <w:spacing w:after="80"/>
      </w:pPr>
      <w:r>
        <w:rPr>
          <w:rFonts w:ascii="Calibri" w:hAnsi="Calibri"/>
          <w:b w:val="0"/>
          <w:color w:val="3A4A28"/>
          <w:sz w:val="20"/>
        </w:rPr>
        <w:t>UDR, Inc. is an S&amp;P 500 company and a leading multifamily real estate investment trust with a demonstrated track record of delivering superior and dependable returns by successfully managing, buying, selling, developing, and redeveloping apartment communities in targeted U.S. markets. The company owns, operates, acquires, renovates, develops, and manages multifamily apartment communities across the United States, serving approximately 60,000 apartment homes in high-growth markets.</w:t>
      </w:r>
    </w:p>
    <w:p>
      <w:r>
        <w:rPr>
          <w:rFonts w:ascii="Calibri" w:hAnsi="Calibri"/>
          <w:b/>
          <w:color w:val="6E8450"/>
          <w:sz w:val="18"/>
        </w:rPr>
        <w:t>1,400 Employees · https://www.udr.com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UDR has adopted technology for property management, analytics, and pricing optimization, and executed the transition from quarterly to monthly common dividends in April 2026 [1][2]. However, as a residential REIT, the company does not launch products or execute business model transformations in the traditional sense. Operations have been consistent but incrementally improved. AI Deployment (0/2): While UDR references innovation and 'cutting edge technology,' no AI-powered products, services, or quantified AI-driven cost savings have been reported [4]. Market Share (1/2): UDR is a meaningful player in the multifamily REIT space with a $12.7B market cap, but not the category leader — Equity Residential ($30B+) and AvalonBay ($28B+) are larger peers [6]. UDR holds a solid position in targeted U.S. markets. Product Pipeline (0/2): Development and redevelopment pipeline exists, but no specific next-generation initiatives with timelines that would differentiate UDR from REIT peers. R&amp;D Intensity (0/1): REITs do not conduct traditional R&amp;D; UDR's technology spend is operational, not research-oriented.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UDR's core values are Growth, Teamwork, and Ownership, with a culture described as embracing 'collaboration, trust, and innovation where every individual feels welcomed, valued, proud, and empowered' [4]. Named 2025 Top Workplace USA by USA TODAY and Energage, reflecting intentional cultural investment. The mission identifies what UDR does and for whom (providing quality homes) but doesn't articulate a deeper purpose beyond being an excellent apartment operator. Community Impact (1/2): Named one of Newsweek's America's Most Sustainable Companies for two consecutive years, GRESB 2023 Regional Sector Leader, and publishes comprehensive annual ESG reports [5]. General corporate sustainability leadership, but no specific community investment programs with quantified dollar amounts cited. Employee Retention (1/2): CEO Tom Toomey has led since February 2001 — 25+ years of stable leadership through the GFC, COVID, and multiple real estate cycles [3]. Recent executive promotions from within (Mike Lacy to COO, Joe Fisher adding CIO responsibilities) demonstrate leadership continuity [3]. Named Top Workplace USA. However, Glassdoor shows 63% recommend rate and 3.4/5 culture score, which is average. Insider Buying (0/2): No meaningful net insider buying identified in recent searches.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solid fundamentals typical of a well-managed REIT, offset by a high GAAP-based Forward P/E and payout ratio. D/E of 142.37% scores 0.69 — elevated leverage is standard for REITs given asset-backed financing [6]. ROE of 12.35% scores 0.82 — slightly below the 15% target but respectable for a REIT generating stable returns on a large equity base. Revenue growth YoY of 1.5% scores 0.72 — total revenues of $425.4M in Q2 2026 were flat year-over-year, though same-store revenue grew 1.8% [1]. Revenue 5yr CAGR of approximately 3.5% scores 0.57 — modest growth reflecting the mature multifamily market. Forward P/E of 54.95 scores 0.13 — the high GAAP P/E reflects REIT depreciation charges; P/FFO of approximately 15.8x ($39.86/$2.53 FFOA) is more representative of true valuation [1]. Profit margin of 27.78% scores 1.0 — healthy REIT profitability. Payout ratio of 109.63% (GAAP-based) scores 0.0 — penalized by the metric, though FFO-based payout of 69% ($1.74/$2.53 FFOA) is sustainable [1]. Consecutive years paid: 54+ (217th consecutive dividend) scores 1.0 at 2x weight. Consecutive years growth: 15 scores 1.0. 5yr dividend growth CAGR of approximately 3.8% scores 0.63 at 2x weight. Liquidity floor cleared: ~3M avg volume x $39.86 = $120M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UDR operates as a disciplined, well-managed REIT with remarkable leadership continuity — CEO Toomey's 25-year tenure provides stability rare in corporate America. However, the company plays a finite game focused on delivering returns, optimizing operations, and growing FFO per share. There is no evidence of a Just Cause that transcends profit, and the business model has remained essentially unchanged for decades. The 54-year dividend streak reflects consistency but not infinite game thinking in Sinek's framework [3][4].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UDR's purpose centers on providing quality apartment homes in targeted U.S. markets, with core values of Growth, Teamwork, and Ownership [4]. Providing housing is a legitimate societal contribution, but UDR does not articulate a Just Cause in Sinek's framework — there is no vision of a future state so appealing that people would sacrifice to advance it. The company exists to generate returns for shareholders through apartment operations, which is a finite objective.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Toomey's 25-year tenure is exceptional and provides organizational stability through multiple real estate cycles (GFC, COVID) [3]. Internal promotions — Mike Lacy to COO, Joe Fisher adding CIO to his President/CFO role — demonstrate a culture of developing leaders from within [3]. Named 2025 Top Workplace USA by USA TODAY. However, Glassdoor ratings (63% recommend, 3.4/5 culture) are average, not exceptional, and 1,400 employees suggest adequate but not outstanding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UDR's public communications. The company benchmarks financial performance against peers (Equity Residential, AvalonBay, Camden) but does not publicly acknowledge competitors' strengths or frame competition as motivation for self-improvement. Strategic communications focus on operational metrics and returns, consistent with a finite competitive framework.</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UDR has been a multifamily apartment REIT for over 50 years with the same fundamental business model — own, operate, and manage apartment communities. While the company has evolved its geographic portfolio, adopted technology, and shifted to monthly dividends, none of these represent a transformative strategic pivot. The business model in 2026 is essentially the same as it was in 2006 and 1996.</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Toomey's decision to maintain dividends through the GFC and COVID demonstrates commitment to shareholders during crisis periods. The transition from quarterly to monthly dividends (April 2026) shows willingness to innovate on capital return mechanisms [2]. Strategic capital recycling — selling lower-growth assets to fund higher-return markets — reflects disciplined long-term capital allocation. However, these are prudent management decisions, not courageous bets that sacrificed short-term earnings for transformative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UDR delivers what income-oriented investors expect from a mature multifamily REIT: a 4.36% dividend yield backed by 54 consecutive years of payments, 15 consecutive years of growth, and the stability of 25 years under CEO Toomey [1][3]. Q2 2026 results showed same-store revenue growth of 1.8%, prompting management to raise full-year FFOA guidance to $2.49-$2.57 (midpoint $2.53) [1]. The company's strong ESG positioning (GRESB Regional Sector Leader, Newsweek Most Sustainable) and Inspire Impact Score of 61 (ALIGNED) make it a natural fit for faith-aligned portfolios. The transition to monthly dividends enhances income consistency for retail investors [2]. The 27.78% profit margin and manageable FFO-based payout ratio of 69% provide dividend coverage comfort.</w:t>
      </w:r>
    </w:p>
    <w:p>
      <w:pPr>
        <w:spacing w:after="120"/>
      </w:pPr>
      <w:r>
        <w:rPr>
          <w:rFonts w:ascii="Calibri" w:hAnsi="Calibri"/>
          <w:b w:val="0"/>
          <w:color w:val="3A4A28"/>
          <w:sz w:val="20"/>
        </w:rPr>
        <w:t>The bear case centers on stagnant growth, expensive GAAP valuation, and sector headwinds. Revenue growth of 1.5% YoY barely exceeds inflation, and same-store NOI guidance of 0%-1.25% for full-year 2026 suggests minimal organic growth [1]. The GAAP Forward P/E of 54.95 penalizes the infrastructure score, though the P/FFO of 15.8x is more reasonable for a REIT [6]. The multifamily sector faces elevated supply headwinds as record apartment deliveries from the 2021-2022 construction boom pressure occupancy and rental rates in many UDR markets. Dividend growth has been modest — the 15-year average of 1.78% annual increases barely keeps pace with inflation, and the 5yr CAGR of 3.8% trails peers like Mid-America Apartment Communities. D/E of 142.37% is manageable for a REIT but limits balance sheet flexibility for opportunistic acquisitions.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Same-store revenue growth acceleration in H2 2026 as apartment supply deliveries peak and rental market fundamentals tighten — management raised full-year guidance on leasing strength tracking ahead of expectations [1][7]</w:t>
      </w:r>
    </w:p>
    <w:p>
      <w:pPr>
        <w:spacing w:before="40" w:after="40"/>
        <w:ind w:left="283"/>
      </w:pPr>
      <w:r>
        <w:rPr>
          <w:rFonts w:ascii="Calibri" w:hAnsi="Calibri"/>
          <w:b/>
          <w:color w:val="4A6B25"/>
          <w:sz w:val="20"/>
        </w:rPr>
        <w:t xml:space="preserve">2. </w:t>
      </w:r>
      <w:r>
        <w:rPr>
          <w:rFonts w:ascii="Calibri" w:hAnsi="Calibri"/>
          <w:b w:val="0"/>
          <w:color w:val="3A4A28"/>
          <w:sz w:val="20"/>
        </w:rPr>
        <w:t>Monthly dividend cadence (effective April 2026) attracting retail income investors and potentially expanding the shareholder base, supporting share price through increased demand [2]</w:t>
      </w:r>
    </w:p>
    <w:p>
      <w:pPr>
        <w:spacing w:before="40" w:after="40"/>
        <w:ind w:left="283"/>
      </w:pPr>
      <w:r>
        <w:rPr>
          <w:rFonts w:ascii="Calibri" w:hAnsi="Calibri"/>
          <w:b/>
          <w:color w:val="4A6B25"/>
          <w:sz w:val="20"/>
        </w:rPr>
        <w:t xml:space="preserve">3. </w:t>
      </w:r>
      <w:r>
        <w:rPr>
          <w:rFonts w:ascii="Calibri" w:hAnsi="Calibri"/>
          <w:b w:val="0"/>
          <w:color w:val="3A4A28"/>
          <w:sz w:val="20"/>
        </w:rPr>
        <w:t>Strategic capital recycling into higher-growth Sunbelt and coastal markets, with COO Mike Lacy's operational initiatives driving NOI margin improvement across the 60,000-home portfolio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multifamily apartment deliveries from the 2021-2022 construction boom are pressuring occupancy and limiting rent growth across many UDR markets, with same-store NOI guidance of just 0%-1.25% for 2026 [1]</w:t>
      </w:r>
    </w:p>
    <w:p>
      <w:pPr>
        <w:spacing w:before="40" w:after="40"/>
        <w:ind w:left="283"/>
      </w:pPr>
      <w:r>
        <w:rPr>
          <w:rFonts w:ascii="Calibri" w:hAnsi="Calibri"/>
          <w:b/>
          <w:color w:val="4A6B25"/>
          <w:sz w:val="20"/>
        </w:rPr>
        <w:t xml:space="preserve">2. </w:t>
      </w:r>
      <w:r>
        <w:rPr>
          <w:rFonts w:ascii="Calibri" w:hAnsi="Calibri"/>
          <w:b w:val="0"/>
          <w:color w:val="3A4A28"/>
          <w:sz w:val="20"/>
        </w:rPr>
        <w:t>Dividend growth averaging only 1.78% annually over 15 years fails to meaningfully compound real income for long-term holders, and the 3.8% 5yr CAGR lags apartment REIT peers</w:t>
      </w:r>
    </w:p>
    <w:p>
      <w:pPr>
        <w:spacing w:before="40" w:after="40"/>
        <w:ind w:left="283"/>
      </w:pPr>
      <w:r>
        <w:rPr>
          <w:rFonts w:ascii="Calibri" w:hAnsi="Calibri"/>
          <w:b/>
          <w:color w:val="4A6B25"/>
          <w:sz w:val="20"/>
        </w:rPr>
        <w:t xml:space="preserve">3. </w:t>
      </w:r>
      <w:r>
        <w:rPr>
          <w:rFonts w:ascii="Calibri" w:hAnsi="Calibri"/>
          <w:b w:val="0"/>
          <w:color w:val="3A4A28"/>
          <w:sz w:val="20"/>
        </w:rPr>
        <w:t>GAAP Forward P/E of 54.95 creates valuation risk if interest rates remain elevated or REIT sentiment deteriorates, despite the more reasonable P/FFO of 15.8x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Physical real estate is structurally immune to AI disruption — apartment buildings require physical construction, maintenance, and on-site management that AI fundamentally cannot replace [6]. Rental housing is essential infrastructure tied to demographic growth, urbanization, and housing supply constraints, none of which AI affects. Regulatory requirements around tenant rights, building codes, and zoning further insulate the core business. AI may optimize leasing, pricing, and maintenance scheduling, but these represent cost efficiencies that benefit UDR, not existential threats. The only minor exposure is if AI-enabled remote work reduces demand for urban apartments in favor of suburban living, but this is a secular trend rather than an AI-specific disruption. AI Opportunity (0/1): UDR does not generate revenue from AI-related products or services. Technology adoption is operational (pricing, leasing, maintenance), not revenue-generating.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UDR Q2 2026 Earnings Release and Raised Guidance — BusinessWire, July 26, 2026</w:t>
      </w:r>
    </w:p>
    <w:p>
      <w:pPr>
        <w:spacing w:before="20" w:after="20"/>
        <w:ind w:left="170"/>
      </w:pPr>
      <w:r>
        <w:rPr>
          <w:rFonts w:ascii="Calibri" w:hAnsi="Calibri"/>
          <w:b/>
          <w:color w:val="4A6B25"/>
          <w:sz w:val="15"/>
        </w:rPr>
        <w:t xml:space="preserve">2. </w:t>
      </w:r>
      <w:r>
        <w:rPr>
          <w:rFonts w:ascii="Calibri" w:hAnsi="Calibri"/>
          <w:b w:val="0"/>
          <w:color w:val="3A4A28"/>
          <w:sz w:val="17"/>
        </w:rPr>
        <w:t>UDR Q1 2026 Earnings Call, Monthly Dividend Transition — The Motley Fool, April 30, 2026</w:t>
      </w:r>
    </w:p>
    <w:p>
      <w:pPr>
        <w:spacing w:before="20" w:after="20"/>
        <w:ind w:left="170"/>
      </w:pPr>
      <w:r>
        <w:rPr>
          <w:rFonts w:ascii="Calibri" w:hAnsi="Calibri"/>
          <w:b/>
          <w:color w:val="4A6B25"/>
          <w:sz w:val="15"/>
        </w:rPr>
        <w:t xml:space="preserve">3. </w:t>
      </w:r>
      <w:r>
        <w:rPr>
          <w:rFonts w:ascii="Calibri" w:hAnsi="Calibri"/>
          <w:b w:val="0"/>
          <w:color w:val="3A4A28"/>
          <w:sz w:val="17"/>
        </w:rPr>
        <w:t>UDR Executive Management Promotions and Leadership Transition — Nasdaq/BusinessWire, January 2025</w:t>
      </w:r>
    </w:p>
    <w:p>
      <w:pPr>
        <w:spacing w:before="20" w:after="20"/>
        <w:ind w:left="170"/>
      </w:pPr>
      <w:r>
        <w:rPr>
          <w:rFonts w:ascii="Calibri" w:hAnsi="Calibri"/>
          <w:b/>
          <w:color w:val="4A6B25"/>
          <w:sz w:val="15"/>
        </w:rPr>
        <w:t xml:space="preserve">4. </w:t>
      </w:r>
      <w:r>
        <w:rPr>
          <w:rFonts w:ascii="Calibri" w:hAnsi="Calibri"/>
          <w:b w:val="0"/>
          <w:color w:val="3A4A28"/>
          <w:sz w:val="17"/>
        </w:rPr>
        <w:t>UDR Careers Culture and Values Page — udr.com,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UDR Sixth Annual ESG Report, GRESB Regional Sector Leader — Nasdaq, October 2024</w:t>
      </w:r>
    </w:p>
    <w:p>
      <w:pPr>
        <w:spacing w:before="20" w:after="20"/>
        <w:ind w:left="170"/>
      </w:pPr>
      <w:r>
        <w:rPr>
          <w:rFonts w:ascii="Calibri" w:hAnsi="Calibri"/>
          <w:b/>
          <w:color w:val="4A6B25"/>
          <w:sz w:val="15"/>
        </w:rPr>
        <w:t xml:space="preserve">6. </w:t>
      </w:r>
      <w:r>
        <w:rPr>
          <w:rFonts w:ascii="Calibri" w:hAnsi="Calibri"/>
          <w:b w:val="0"/>
          <w:color w:val="3A4A28"/>
          <w:sz w:val="17"/>
        </w:rPr>
        <w:t>Yahoo Finance — UDR Key Statistics and Financial Data,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UDR Q2 2026 Earnings Call Highlights — GuruFocus,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