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ULS</w:t>
      </w:r>
      <w:r>
        <w:rPr>
          <w:rFonts w:ascii="Calibri" w:hAnsi="Calibri"/>
          <w:b/>
          <w:color w:val="1A2010"/>
          <w:sz w:val="40"/>
        </w:rPr>
        <w:t xml:space="preserve">  UL Solutions Inc.</w:t>
      </w:r>
    </w:p>
    <w:p>
      <w:pPr>
        <w:spacing w:after="120"/>
      </w:pPr>
      <w:r>
        <w:rPr>
          <w:rFonts w:ascii="Calibri" w:hAnsi="Calibri"/>
          <w:b/>
          <w:color w:val="6E8450"/>
          <w:sz w:val="18"/>
        </w:rPr>
        <w:t>GROWTH SLEEVE · 2026-10-01 · Inspire: 0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FFF8E1" w:val="clear"/>
          </w:tcPr>
          <w:p>
            <w:pPr>
              <w:spacing w:before="40" w:after="40"/>
              <w:jc w:val="center"/>
            </w:pPr>
            <w:r>
              <w:rPr>
                <w:rFonts w:ascii="Calibri" w:hAnsi="Calibri"/>
                <w:b/>
                <w:color w:val="D97706"/>
                <w:sz w:val="20"/>
              </w:rPr>
              <w:t>HOLD</w:t>
            </w:r>
          </w:p>
        </w:tc>
      </w:tr>
    </w:tbl>
    <w:p>
      <w:pPr>
        <w:spacing w:before="120" w:after="200"/>
      </w:pPr>
      <w:r>
        <w:rPr>
          <w:rFonts w:ascii="Calibri" w:hAnsi="Calibri"/>
          <w:b/>
          <w:color w:val="1A2010"/>
          <w:sz w:val="80"/>
        </w:rPr>
        <w:t>73</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Industrials · Specialty Business Services · NYSE · United States</w:t>
      </w:r>
    </w:p>
    <w:p>
      <w:pPr>
        <w:spacing w:after="80"/>
      </w:pPr>
      <w:r>
        <w:rPr>
          <w:rFonts w:ascii="Calibri" w:hAnsi="Calibri"/>
          <w:b w:val="0"/>
          <w:color w:val="3A4A28"/>
          <w:sz w:val="20"/>
        </w:rPr>
        <w:t>UL Solutions is a global safety science company providing testing, inspection, certification (TIC), software, and advisory services. The UL mark appears on over 22 billion products worldwide. Operating through Industrial, Consumer, and Software &amp; Advisory segments, the company reported Q2 2026 revenue of $816M (up 5.2%, 6.6% organic) with adjusted EBITDA margin of 26.8%. Founded in 1894, IPO'd April 2024. Targeting ~27% adjusted EBITDA margin for full-year 2026.</w:t>
      </w:r>
    </w:p>
    <w:p>
      <w:r>
        <w:rPr>
          <w:rFonts w:ascii="Calibri" w:hAnsi="Calibri"/>
          <w:b/>
          <w:color w:val="6E8450"/>
          <w:sz w:val="18"/>
        </w:rPr>
        <w:t>14,587 Employees · https://www.ul.com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UL Solutions completed a transformative IPO in April 2024 — converting a 129-year-old nonprofit (Underwriters Laboratories) into a NYSE-listed public company — and launched UL 3115 AI Safety Certification in November 2025, issuing the first certification for AI-embedded products [1][3]. CEO Scanlon: 'Innovation without safety is failure.' The recent appointment of Kelly Manthey as Chief AI &amp; Digital Trust Officer signals a strategic commitment to commercialize AI-enabled solutions [3]. AI Deployment (1/2): UL 3115 AI Safety Certification is a commercially shipping service evaluating AI-embedded products for safety compliance, and the Chief AI &amp; Digital Trust Officer role is specifically designed to 'commercialize and scale AI-enabled solutions' [3]. However, specific revenue figures from AI-related services have not been disclosed. Market Share (2/2): UL Solutions is the preeminent safety certification brand globally, with the UL mark recognized on 22+ billion products across electrical, electronics, fire safety, environmental testing, and cybersecurity categories [4]. No competitor matches UL's brand recognition or the regulatory entrenchment of the UL standard. Product Pipeline (1/2): AI safety certification, ESG advisory and assurance practice expansion, and the strategic sale of the Employee Health &amp; Safety software business to focus on core TIC demonstrate portfolio reshaping with clear strategic direction [1][3]. R&amp;D Intensity (1/1): UL Solutions is fundamentally a science company — investment in testing methodologies, certification standards development, AI safety research, and laboratory infrastructure represents above-average innovation spending for the TIC industry.</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'Working for a safer world' is specific, thoughtful, and deeply validated by 130+ years of consistent execution since 1894 [4]. The mission connects the company's testing and certification work to a genuine societal purpose — preventing product failures, fires, electrocutions, and safety hazards for billions of consumers. Strategic decisions (AI safety certification, ESG assurance expansion) clearly trace back to this safety-first purpose. CEO Scanlon's leadership philosophy emphasizes that 'leaders are successful when they help their employees reach their full potential because they are motivated and inspired by the importance of their work' [3]. However, the recent nonprofit-to-for-profit transition introduces tension between mission purity and shareholder return demands. Community Impact (1/2): UL Solutions' core business IS community impact — certifying product safety for billions of consumers worldwide. The company expanded its ESG advisory practice, publishes sustainability reports, and its Fiscal 2024 Sustainability Impact Report aligns with six UN SDGs [4]. However, no specific charitable foundation or quantified community investment dollar amounts beyond the core business were identified. Employee Retention (0/2): CEO Scanlon has led since 2019 (7 years), providing stability through the IPO transition. 14,587 employees globally. No specific data on voluntary turnover or average tenure available to assess whether retention is above industry norms. Insider Buying (0/2): Net insider selling in the last 12 months. No evidence of meaningful personal insider buying by executives.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ULS's financial profile is exceptional: D/E of just 29.4% (score 1.0), ROE of 38.7% (score 1.0, 2x weight), and profit margin of 16.1% (score 0.80) demonstrate strong capital efficiency and a clean balance sheet with $476M debt against $434M cash [1][5]. Forward P/E of 25.2 is above the 20 target but scores 0.87. Revenue grew 5.2% YoY with 6.6% organic growth (score 0.84), and estimated 5-year revenue CAGR of ~7% reflects steady mid-single-digit growth (score 0.80, 2x weight). PEG of 1.32 scores well at 0.84 (2x weight) — a dramatic improvement from the prior 3.13 as the stock de-rated from $81 to $66 [5]. Daily dollar volume of ~$60M provides ample liquidity.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16A34A"/>
          <w:sz w:val="28"/>
        </w:rPr>
        <w:t>7</w:t>
      </w:r>
      <w:r>
        <w:rPr>
          <w:rFonts w:ascii="Calibri" w:hAnsi="Calibri"/>
          <w:b w:val="0"/>
          <w:color w:val="9DAF88"/>
          <w:sz w:val="18"/>
        </w:rPr>
        <w:t xml:space="preserve"> /10</w:t>
      </w:r>
    </w:p>
    <w:p>
      <w:pPr>
        <w:spacing w:after="120"/>
      </w:pPr>
      <w:r>
        <w:rPr>
          <w:rFonts w:ascii="Calibri" w:hAnsi="Calibri"/>
          <w:b w:val="0"/>
          <w:color w:val="3A4A28"/>
          <w:sz w:val="18"/>
        </w:rPr>
        <w:t>UL Solutions demonstrates exceptional infinite game characteristics rooted in its 130-year safety mission and remarkable organizational transformation from nonprofit to public company. The Just Cause of 'working for a safer world' is one of the most validated corporate purposes in existence — it has survived World Wars, the Great Depression, multiple technological revolutions, and a fundamental organizational restructuring. The expansion into AI safety certification shows the cause adapting to new challenges. Weaknesses include limited evidence of exceptional organizational trust and no competitive learning mindset.</w:t>
      </w:r>
    </w:p>
    <w:p>
      <w:pPr>
        <w:spacing w:before="200" w:after="40"/>
      </w:pPr>
      <w:r>
        <w:rPr>
          <w:rFonts w:ascii="Calibri" w:hAnsi="Calibri"/>
          <w:b/>
          <w:color w:val="1A2010"/>
          <w:sz w:val="22"/>
        </w:rPr>
        <w:t>Just Cause</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(3/3): 'Working for a safer world' is a textbook Just Cause — resilient, inclusive, service-oriented, idealistic, and big enough to never be fully achieved [4]. It has been validated by 130+ years of consistent execution since 1894, surviving the electrification era, both World Wars, the digital revolution, and now the AI era. Strategic decisions clearly trace back to it: launching AI safety certification (UL 3115), expanding ESG assurance, appointing a Chief AI &amp; Digital Trust Officer [3]. The UL mark on 22+ billion products is the physical manifestation of a purpose that IS the competitive advantage. Sinek would cite UL Solutions as a canonical example of a Just Cause driving enduring competitive advantage.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CEO Jennifer Scanlon has led since 2019, providing stability through the IPO transition, and her leadership philosophy emphasizes helping employees reach their full potential through mission-driven inspiration [3]. The 14,587-employee global workforce is guided by stated values of safety, integrity, respect, and growth. However, no specific data on employee tenure, voluntary turnover, or cultural distinctiveness was found to indicate above-average trust or empowerment. The organization is adequate but not demonstrably exceptional on trust metrics.</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management acknowledging competitors' strengths or using competitive pressure for self-improvement. UL Solutions competes with Bureau Veritas, SGS, Intertek, and TUV in the global TIC market, but competitive messaging focuses on UL's own brand heritage and 130-year safety record rather than learning from rival strengths.</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UL Solutions has fundamentally reinvented itself at least twice, driven by the Just Cause [4]. The transformation from a nonprofit organization (Underwriters Laboratories, founded 1894) to a NYSE-listed public company via IPO in April 2024 was a dramatic strategic pivot that preserved the safety mission while enabling access to public capital markets. Additionally, the company expanded from its original electrical safety testing mission to comprehensive TIC services spanning AI safety, ESG advisory, cybersecurity certification, and environmental testing — continuously adapting to new safety challenges across emerging technologies. The sale of the Employee Health &amp; Safety software business to focus on core TIC demonstrates ongoing portfolio discipline in service of the mission [1].</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decision to take UL Solutions public after 129 years as a nonprofit required courage — fundamentally changing the organization's structure while maintaining its safety mission under public market scrutiny [4]. Launching AI safety certification (UL 3115) before regulatory mandates demonstrates proactive investment, and CEO Scanlon's 'Innovation without safety is failure' framing shows willingness to take a principled stance [3]. However, as a company public for only two years, the long-term test of whether leadership will prioritize mission over quarterly earnings pressure remains ahead.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UL Solutions is a best-in-class safety science company with an irreplaceable 130-year brand (UL mark on 22+ billion products), a near-impregnable regulatory moat, and a compelling AI catalyst. The stock's 19% decline from $81 to $66 has created a significantly more attractive entry point, compressing PEG from 3.13 to 1.32 while fundamentals improved — Q1 2026 revenue grew 7.5% and Q2 grew 5.2% to $816M with adjusted EBITDA margin expanding to 26.8% [1][5]. D/E of just 29% and ROE of 38.7% demonstrate exceptional balance sheet strength and capital efficiency. UL 3115 AI Safety Certification and the appointment of a Chief AI &amp; Digital Trust Officer position the company at the intersection of AI proliferation and regulatory demand — as EU AI Act and potential US AI frameworks mandate safety compliance, UL is the natural certification partner [3].</w:t>
      </w:r>
    </w:p>
    <w:p>
      <w:pPr>
        <w:spacing w:after="120"/>
      </w:pPr>
      <w:r>
        <w:rPr>
          <w:rFonts w:ascii="Calibri" w:hAnsi="Calibri"/>
          <w:b w:val="0"/>
          <w:color w:val="3A4A28"/>
          <w:sz w:val="20"/>
        </w:rPr>
        <w:t>The primary concern is growth rate relative to valuation. Despite the de-rating, forward P/E of 25.2 remains premium for a company delivering mid-single-digit organic revenue growth, and profit margin of 16.1% reflects the labor-intensive TIC service model [5]. The 168.9% YoY EPS growth was inflated by a one-time gain on the sale of the Employee Health &amp; Safety software business, and underlying earnings growth is more modest. Revenue guidance of mid-single-digit organic growth with ~1% drag from business exits implies full-year 2026 revenue of ~$3.1B, below the 10% growth target. As a company public for only two years with limited public earnings track record, management credibility with public market investors is still being established. Net insider selling does not signal insider conviction at current prices. AI-driven automation could modestly compress margins in routine inspection workflows, though the regulatory moat and physical testing requirements protect the core.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 safety regulation mandates from the EU AI Act and potential US frameworks converting voluntary UL 3115 certification into required compliance revenue, with a Chief AI &amp; Digital Trust Officer now leading commercialization [3]</w:t>
      </w:r>
    </w:p>
    <w:p>
      <w:pPr>
        <w:spacing w:before="40" w:after="40"/>
        <w:ind w:left="283"/>
      </w:pPr>
      <w:r>
        <w:rPr>
          <w:rFonts w:ascii="Calibri" w:hAnsi="Calibri"/>
          <w:b/>
          <w:color w:val="4A6B25"/>
          <w:sz w:val="20"/>
        </w:rPr>
        <w:t xml:space="preserve">2. </w:t>
      </w:r>
      <w:r>
        <w:rPr>
          <w:rFonts w:ascii="Calibri" w:hAnsi="Calibri"/>
          <w:b w:val="0"/>
          <w:color w:val="3A4A28"/>
          <w:sz w:val="20"/>
        </w:rPr>
        <w:t>Stock de-rating from $81 to $66 compressed PEG from 3.13 to 1.32, creating a significantly more attractive risk/reward with ROE of 38.7% and D/E of 29% [5]</w:t>
      </w:r>
    </w:p>
    <w:p>
      <w:pPr>
        <w:spacing w:before="40" w:after="40"/>
        <w:ind w:left="283"/>
      </w:pPr>
      <w:r>
        <w:rPr>
          <w:rFonts w:ascii="Calibri" w:hAnsi="Calibri"/>
          <w:b/>
          <w:color w:val="4A6B25"/>
          <w:sz w:val="20"/>
        </w:rPr>
        <w:t xml:space="preserve">3. </w:t>
      </w:r>
      <w:r>
        <w:rPr>
          <w:rFonts w:ascii="Calibri" w:hAnsi="Calibri"/>
          <w:b w:val="0"/>
          <w:color w:val="3A4A28"/>
          <w:sz w:val="20"/>
        </w:rPr>
        <w:t>Adjusted EBITDA margin expansion toward 27.0% target, driven by operating leverage on organic growth, portfolio reshaping (EH&amp;S software sale), and efficiency improvements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Forward P/E of 25.2 remains premium for mid-single-digit organic revenue growth — any deceleration could trigger further de-rating from a stock already down 19% from highs [5]</w:t>
      </w:r>
    </w:p>
    <w:p>
      <w:pPr>
        <w:spacing w:before="40" w:after="40"/>
        <w:ind w:left="283"/>
      </w:pPr>
      <w:r>
        <w:rPr>
          <w:rFonts w:ascii="Calibri" w:hAnsi="Calibri"/>
          <w:b/>
          <w:color w:val="4A6B25"/>
          <w:sz w:val="20"/>
        </w:rPr>
        <w:t xml:space="preserve">2. </w:t>
      </w:r>
      <w:r>
        <w:rPr>
          <w:rFonts w:ascii="Calibri" w:hAnsi="Calibri"/>
          <w:b w:val="0"/>
          <w:color w:val="3A4A28"/>
          <w:sz w:val="20"/>
        </w:rPr>
        <w:t>Two-year public company track record provides limited evidence of management's ability to balance quarterly earnings expectations with long-term mission-driven investment under shareholder scrutiny</w:t>
      </w:r>
    </w:p>
    <w:p>
      <w:pPr>
        <w:spacing w:before="40" w:after="40"/>
        <w:ind w:left="283"/>
      </w:pPr>
      <w:r>
        <w:rPr>
          <w:rFonts w:ascii="Calibri" w:hAnsi="Calibri"/>
          <w:b/>
          <w:color w:val="4A6B25"/>
          <w:sz w:val="20"/>
        </w:rPr>
        <w:t xml:space="preserve">3. </w:t>
      </w:r>
      <w:r>
        <w:rPr>
          <w:rFonts w:ascii="Calibri" w:hAnsi="Calibri"/>
          <w:b w:val="0"/>
          <w:color w:val="3A4A28"/>
          <w:sz w:val="20"/>
        </w:rPr>
        <w:t>AI-driven automation of routine inspection and document review workflows could compress margins in traditional TIC services, partially offsetting the growth from AI safety certification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9</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961"/>
            <w:shd w:fill="16A34A" w:val="clear"/>
          </w:tcPr>
          <w:p>
            <w:pPr>
              <w:spacing w:before="0" w:after="0"/>
            </w:pPr>
            <w:r>
              <w:rPr>
                <w:rFonts w:ascii="Calibri" w:hAnsi="Calibri"/>
                <w:b w:val="0"/>
                <w:color w:val="1A2010"/>
                <w:sz w:val="4"/>
              </w:rPr>
            </w:r>
          </w:p>
        </w:tc>
        <w:tc>
          <w:tcPr>
            <w:tcW w:type="dxa" w:w="551"/>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UL Solutions' core TIC business involves physical product testing, laboratory inspections, and regulatory safety certifications that require physical infrastructure, accredited personnel, and hands-on access to products — structurally immune to AI substitution [1][3]. Safety certification requirements are embedded in building codes, insurance standards, product regulations, and import/export compliance worldwide, creating an impregnable regulatory moat. AI proliferation actually INCREASES demand for UL's services — every new AI-embedded consumer product, autonomous vehicle component, and smart device requires safety certification, expanding UL's addressable market. CEO Scanlon's statement 'Innovation without safety is failure' positions UL as the indispensable gatekeeper as AI-powered products proliferate [3]. AI Opportunity (1/1): UL 3115 AI Safety Certification is a commercially shipping service generating revenue from evaluating AI-embedded products. The appointment of Kelly Manthey as Chief AI &amp; Digital Trust Officer specifically to 'commercialize and scale AI-enabled solutions' confirms a strategic AI revenue initiative [3]. As EU AI Act and potential US AI regulations mandate safety compliance, this revenue stream should accelerate.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0</w:t>
      </w:r>
      <w:r>
        <w:rPr>
          <w:rFonts w:ascii="Calibri" w:hAnsi="Calibri"/>
          <w:b/>
          <w:color w:val="B8860B"/>
          <w:sz w:val="20"/>
        </w:rPr>
        <w:t xml:space="preserve">    MIXED</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UL Solutions Q1-Q2 2026 Earnings Releases — ul.com, Stock Titan, Investing.com, TradingKey, 2026</w:t>
      </w:r>
    </w:p>
    <w:p>
      <w:pPr>
        <w:spacing w:before="20" w:after="20"/>
        <w:ind w:left="170"/>
      </w:pPr>
      <w:r>
        <w:rPr>
          <w:rFonts w:ascii="Calibri" w:hAnsi="Calibri"/>
          <w:b/>
          <w:color w:val="4A6B25"/>
          <w:sz w:val="15"/>
        </w:rPr>
        <w:t xml:space="preserve">2. </w:t>
      </w:r>
      <w:r>
        <w:rPr>
          <w:rFonts w:ascii="Calibri" w:hAnsi="Calibri"/>
          <w:b w:val="0"/>
          <w:color w:val="3A4A28"/>
          <w:sz w:val="17"/>
        </w:rPr>
        <w:t>UL Solutions Revenue and Growth Data — companiesmarketcap.com, Trefis, StockStory, 2026</w:t>
      </w:r>
    </w:p>
    <w:p>
      <w:pPr>
        <w:spacing w:before="20" w:after="20"/>
        <w:ind w:left="170"/>
      </w:pPr>
      <w:r>
        <w:rPr>
          <w:rFonts w:ascii="Calibri" w:hAnsi="Calibri"/>
          <w:b/>
          <w:color w:val="4A6B25"/>
          <w:sz w:val="15"/>
        </w:rPr>
        <w:t xml:space="preserve">3. </w:t>
      </w:r>
      <w:r>
        <w:rPr>
          <w:rFonts w:ascii="Calibri" w:hAnsi="Calibri"/>
          <w:b w:val="0"/>
          <w:color w:val="3A4A28"/>
          <w:sz w:val="17"/>
        </w:rPr>
        <w:t>UL Solutions AI Safety and Leadership — Fortune, Chicago Business, Yahoo Finance (Chief AI Officer appointment), 2025-2026</w:t>
      </w:r>
    </w:p>
    <w:p>
      <w:pPr>
        <w:spacing w:before="20" w:after="20"/>
        <w:ind w:left="170"/>
      </w:pPr>
      <w:r>
        <w:rPr>
          <w:rFonts w:ascii="Calibri" w:hAnsi="Calibri"/>
          <w:b/>
          <w:color w:val="4A6B25"/>
          <w:sz w:val="15"/>
        </w:rPr>
        <w:t xml:space="preserve">4. </w:t>
      </w:r>
      <w:r>
        <w:rPr>
          <w:rFonts w:ascii="Calibri" w:hAnsi="Calibri"/>
          <w:b w:val="0"/>
          <w:color w:val="3A4A28"/>
          <w:sz w:val="17"/>
        </w:rPr>
        <w:t>UL Solutions ESG Advisory, Sustainability Report and Corporate Profile — ul.com, 2023-2026</w:t>
      </w:r>
    </w:p>
    <w:p>
      <w:pPr>
        <w:spacing w:before="20" w:after="20"/>
        <w:ind w:left="170"/>
      </w:pPr>
      <w:r>
        <w:rPr>
          <w:rFonts w:ascii="Calibri" w:hAnsi="Calibri"/>
          <w:b/>
          <w:color w:val="4A6B25"/>
          <w:sz w:val="15"/>
        </w:rPr>
        <w:t xml:space="preserve">5. </w:t>
      </w:r>
      <w:r>
        <w:rPr>
          <w:rFonts w:ascii="Calibri" w:hAnsi="Calibri"/>
          <w:b w:val="0"/>
          <w:color w:val="3A4A28"/>
          <w:sz w:val="17"/>
        </w:rPr>
        <w:t>Yahoo Finance — ULS Key Statistics and Financial Data, accessed October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