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UMC</w:t>
      </w:r>
      <w:r>
        <w:rPr>
          <w:rFonts w:ascii="Calibri" w:hAnsi="Calibri"/>
          <w:b/>
          <w:color w:val="1A2010"/>
          <w:sz w:val="40"/>
        </w:rPr>
        <w:t xml:space="preserve">  United Microelectronics Corporation</w:t>
      </w:r>
    </w:p>
    <w:p>
      <w:pPr>
        <w:spacing w:after="120"/>
      </w:pPr>
      <w:r>
        <w:rPr>
          <w:rFonts w:ascii="Calibri" w:hAnsi="Calibri"/>
          <w:b/>
          <w:color w:val="6E8450"/>
          <w:sz w:val="18"/>
        </w:rPr>
        <w:t>GROWTH SLEEVE · 2026-10-13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NYQ · Taiwan</w:t>
      </w:r>
    </w:p>
    <w:p>
      <w:pPr>
        <w:spacing w:after="80"/>
      </w:pPr>
      <w:r>
        <w:rPr>
          <w:rFonts w:ascii="Calibri" w:hAnsi="Calibri"/>
          <w:b w:val="0"/>
          <w:color w:val="3A4A28"/>
          <w:sz w:val="20"/>
        </w:rPr>
        <w:t>United Microelectronics Corporation is the world's third-largest dedicated semiconductor foundry, specializing in mature-node chip manufacturing at 22nm and above. UMC operates 12 fabs across Taiwan, Singapore, China, and Japan, serving customers in communications, consumer electronics, computing, and automotive segments. Under new CEO Jason Wang (appointed February 2026), UMC is expanding into silicon photonics for AI data center interconnects. Q2 2026 revenue reached NT$68.73B (+17% YoY) with 32.5% gross margin, and the company projects AI-related revenue of ~$300M in 2026.</w:t>
      </w:r>
    </w:p>
    <w:p>
      <w:r>
        <w:rPr>
          <w:rFonts w:ascii="Calibri" w:hAnsi="Calibri"/>
          <w:b/>
          <w:color w:val="6E8450"/>
          <w:sz w:val="18"/>
        </w:rPr>
        <w:t>20,000 Employees · https://www.umc.com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UMC has incrementally expanded its technology portfolio over the last five years, growing 22/28nm revenue to record levels (17.5% of Q2 2026 sales) and entering specialty technology segments including embedded non-volatile memory, RFSOI, and BCD power management [1]. These are meaningful but incremental extensions of the existing foundry business rather than transformative pivots. AI Deployment (1/2): UMC has begun production of silicon photonics components at its Singapore fab for AI data center optical interconnects, projecting AI-related revenue of ~$300M in 2026 and &gt;$1B within three years [1]. This represents genuine AI product shipping, though contribution remains modest relative to total revenue. Market Share (1/2): UMC holds approximately 6-7% global foundry market share, positioned as the third-largest pure-play foundry behind TSMC (~60%) and GlobalFoundries — a meaningful player with stable share in mature nodes but not a category leader or fastest share gainer [1]. Product Pipeline (1/2): Silicon photonics expansion, advanced packaging offerings, and continued 22nm capacity additions provide visible pipeline, but UMC lacks the specificity of named next-gen platforms with launch dates that characterize top-scoring companies. R&amp;D Intensity (0/1): R&amp;D spending at ~7-8% of revenue is below semiconductor industry leaders like TSMC (~8-9%), reflecting UMC's mature-node focus over leading-edge process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UMC's purpose centers on being a trusted semiconductor manufacturing partner, enabling customers' product innovation through reliable, cost-effective foundry services — functional and clear but generic and interchangeable with any contract manufacturer in the industry [2]. Community Impact (1/2): UMC ranks in the top 1% of the global semiconductor industry in the S&amp;P Global Sustainability Yearbook 2026 and received AA MSCI ESG rating for two consecutive years [3]. The company achieved CDP double-A ratings in both Climate Change and Water Security and has pledged net-zero emissions by 2050. However, no specific dollar amounts for community investment programs were cited beyond environmental metrics. Employee Retention (0/2): Glassdoor rating of 2.9/5 from 432 reviews with only 36% of employees recommending UMC to a friend, 2.0/5 work-life balance, and culture and values at 2.3/5 — well below industry averages and indicating significant retention challenges [2]. Insider Buying (0/2): No evidence of meaningful net insider buying by executives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UMC demonstrates strong financial fundamentals: D/E of 14.3% is well below the 70% target (score 1.0), ROE of 21.3% exceeds the 15% target (score 1.0, 2× weight), and profit margin of 33.3% surpasses the 20% target (score 1.0) [1][4]. Revenue growth of 17% YoY in Q2 2026 exceeds the 10% target (score 1.0), driven by 22/28nm demand and AI-related orders, though the 5-year revenue CAGR of ~4% reflects the cyclical semiconductor downturn in 2023 (score 0.60, 2× weight) [1]. Forward P/E of 25.7 is above the 20 target (score 0.86), and PEG of 1.19 reflects reasonable growth-adjusted valuation (score 0.91, 2× weight). Daily dollar volume of ~$289M provides excellent liquidity. The stock price has risen 137% from the August screen at $9.50 to $22.55, expanding the Forward P/E and compressing the dividend yield to 1.78%.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UMC operates with a predominantly finite mindset, optimizing for competitive positioning and quarterly performance rather than pursuing a transformative Just Cause. The February 2026 leadership restructuring — replacing the co-president model with Jason Wang as sole CEO — demonstrates pragmatic adaptation driven by efficiency concerns rather than purpose [2]. Glassdoor reviews (2.9/5 overall, 2.0/5 work-life balance) paint a picture of a pressure-driven culture where employees feel overloaded rather than inspired. The company competes as a cost-effective alternative to TSMC rather than articulating a distinctive vision for semiconductor manufacturing's future.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UMC exists to manufacture semiconductors profitably and compete for market share against TSMC and GlobalFoundries — there is no articulated vision of a better future beyond commercial success [2]. The company's messaging centers on operational metrics (capacity utilization, technology nodes, cost competitiveness) rather than a purpose that transcends the product. While the sustainability commitment (net zero by 2050) adds a dimension, it functions as corporate responsibility rather than a Just Cause shaping strategic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points to a low-trust work environment. Glassdoor ratings of 2.9/5 overall with culture and values at 2.3/5 and work-life balance at 2.0/5 indicate employees operate under significant pressure [2]. Reviews describe inefficient management and aggressive leadership. Only 36% would recommend UMC to a friend, well below industry norms. The February 2026 leadership restructuring adds organizational uncertainty for employees navigating a new management structure.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UMC's competitive language orients around competing with TSMC on price and capacity rather than using TSMC's strengths as motivation for self-improvement. The company positions itself primarily as a lower-cost alternative rather than articulating how competition drives improvement of its own capabilities. Management commentary focuses on market share metrics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UMC abandoned the race to leading-edge nodes (7nm and below) in 2018, choosing to focus on mature nodes where it could be profitable rather than chasing TSMC in a capital-intensive arms race it could not win [1]. The silicon photonics initiative represents entry into an adjacent AI-driven market. These adaptations show pragmatic flexibility but were driven by competitive necessity rather than purpose, and the company has not fundamentally reinvented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UMC's 2018 decision to exit the leading-edge node race was courageous — walking away from advanced node prestige to focus on profitable mature-node manufacturing required accepting a smaller addressable market in exchange for sustainable profitability [1]. The February 2026 leadership restructuring demonstrates willingness to make organizational changes. However, these are isolated examples rather than a consistent pattern of courageous long-term investment against short-term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UMC at $22.55 offers exposure to a fundamentally strong semiconductor foundry with excellent financial metrics — D/E of 14.3%, ROE of 21.3%, and 33.3% profit margin — now accelerating into AI-driven demand [1][4]. Q2 2026 revenue grew 17% YoY to NT$68.73B with 32.5% gross margin, Q3 guidance projects high-single-digit shipment growth with utilization above 90% and gross margin in the mid-30% range, and full-year 2026 revenue is estimated to grow ~21% with profits up ~133% [1]. The silicon photonics initiative targeting $300M in AI-related revenue in 2026 and &gt;$1B within three years positions UMC to capture emerging AI data center interconnect demand. A PEG of 1.19 suggests reasonable growth-adjusted valuation for a company with this profitability profile.</w:t>
      </w:r>
    </w:p>
    <w:p>
      <w:pPr>
        <w:spacing w:after="120"/>
      </w:pPr>
      <w:r>
        <w:rPr>
          <w:rFonts w:ascii="Calibri" w:hAnsi="Calibri"/>
          <w:b w:val="0"/>
          <w:color w:val="3A4A28"/>
          <w:sz w:val="20"/>
        </w:rPr>
        <w:t>The bear case centers on valuation expansion and structural competitive disadvantage. The stock has surged from $6.97 (52-week low) to $22.55, expanding the Forward P/E from 17.2× to 25.7× and compressing the dividend yield from 3.4% to 1.78%, reducing the margin of safety [4]. TSMC's overwhelming scale (~60% foundry share vs. UMC's ~7%) creates a structural disadvantage in R&amp;D investment, customer relationships, and pricing power that widens as AI drives more leading-edge demand [1]. Glassdoor ratings of 2.9/5 with only 36% employee recommendation and 2.0/5 work-life balance signal cultural challenges that could impair talent retention for critical silicon photonics and packaging initiatives [2]. Geopolitical risk from cross-strait Taiwan tensions and UMC's fab operations in mainland China could force costly supply chain restructuring. The DOJ trade-secret plea agreement ($60M fine in 2020) represents a governance red flag, and revenue cyclicality (5-year CAGR of only ~4%) means the current growth acceleration may not persist through a semiconductor downcycle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AI-related revenue projected at ~$300M in 2026 and &gt;$1B within three years, driven by silicon photonics production at the Singapore fab for AI data center optical interconnects — addressing a critical bandwidth bottleneck in hyperscale infrastructure [1]</w:t>
      </w:r>
    </w:p>
    <w:p>
      <w:pPr>
        <w:spacing w:before="40" w:after="40"/>
        <w:ind w:left="283"/>
      </w:pPr>
      <w:r>
        <w:rPr>
          <w:rFonts w:ascii="Calibri" w:hAnsi="Calibri"/>
          <w:b/>
          <w:color w:val="4A6B25"/>
          <w:sz w:val="20"/>
        </w:rPr>
        <w:t xml:space="preserve">2. </w:t>
      </w:r>
      <w:r>
        <w:rPr>
          <w:rFonts w:ascii="Calibri" w:hAnsi="Calibri"/>
          <w:b w:val="0"/>
          <w:color w:val="3A4A28"/>
          <w:sz w:val="20"/>
        </w:rPr>
        <w:t>Q3 2026 guidance for high-single-digit shipment growth, utilization above 90%, and gross margin in the mid-30% range suggests continued momentum, with full-year revenue estimated to grow ~21% YoY [1]</w:t>
      </w:r>
    </w:p>
    <w:p>
      <w:pPr>
        <w:spacing w:before="40" w:after="40"/>
        <w:ind w:left="283"/>
      </w:pPr>
      <w:r>
        <w:rPr>
          <w:rFonts w:ascii="Calibri" w:hAnsi="Calibri"/>
          <w:b/>
          <w:color w:val="4A6B25"/>
          <w:sz w:val="20"/>
        </w:rPr>
        <w:t xml:space="preserve">3. </w:t>
      </w:r>
      <w:r>
        <w:rPr>
          <w:rFonts w:ascii="Calibri" w:hAnsi="Calibri"/>
          <w:b w:val="0"/>
          <w:color w:val="3A4A28"/>
          <w:sz w:val="20"/>
        </w:rPr>
        <w:t>New CEO Jason Wang's streamlined leadership structure (eliminating co-president model) could accelerate decision-making and strategic execution during a period of accelerating semiconductor demand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TSMC's overwhelming scale advantage (~60% foundry share vs. UMC's ~7%) creates a structural disadvantage in R&amp;D, customer relationships, and pricing power that widens as AI drives leading-edge demand — UMC's mature-node focus captures a smaller share of AI spending [1]</w:t>
      </w:r>
    </w:p>
    <w:p>
      <w:pPr>
        <w:spacing w:before="40" w:after="40"/>
        <w:ind w:left="283"/>
      </w:pPr>
      <w:r>
        <w:rPr>
          <w:rFonts w:ascii="Calibri" w:hAnsi="Calibri"/>
          <w:b/>
          <w:color w:val="4A6B25"/>
          <w:sz w:val="20"/>
        </w:rPr>
        <w:t xml:space="preserve">2. </w:t>
      </w:r>
      <w:r>
        <w:rPr>
          <w:rFonts w:ascii="Calibri" w:hAnsi="Calibri"/>
          <w:b w:val="0"/>
          <w:color w:val="3A4A28"/>
          <w:sz w:val="20"/>
        </w:rPr>
        <w:t>Employee culture challenges (Glassdoor 2.9/5, 36% recommendation rate, 2.0/5 work-life balance) could impair talent retention at a critical moment when UMC needs engineers for silicon photonics and advanced packaging initiatives [2]</w:t>
      </w:r>
    </w:p>
    <w:p>
      <w:pPr>
        <w:spacing w:before="40" w:after="40"/>
        <w:ind w:left="283"/>
      </w:pPr>
      <w:r>
        <w:rPr>
          <w:rFonts w:ascii="Calibri" w:hAnsi="Calibri"/>
          <w:b/>
          <w:color w:val="4A6B25"/>
          <w:sz w:val="20"/>
        </w:rPr>
        <w:t xml:space="preserve">3. </w:t>
      </w:r>
      <w:r>
        <w:rPr>
          <w:rFonts w:ascii="Calibri" w:hAnsi="Calibri"/>
          <w:b w:val="0"/>
          <w:color w:val="3A4A28"/>
          <w:sz w:val="20"/>
        </w:rPr>
        <w:t>Geopolitical risk from cross-strait Taiwan tensions and UMC's mainland China fab operations, combined with DOJ trade-secret plea history ($60M fine), creating governance and operational overhang that could constrain expansion or force costly restructuring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UMC operates physical semiconductor fabrication facilities — AI cannot replace the manufacturing of silicon chips, which requires billion-dollar cleanrooms, specialized equipment, and decades of process engineering expertise [1]. The foundry business model has natural protection because it involves physical-world operations with extreme capital intensity and regulatory requirements. While UMC focuses on mature nodes (22nm+) rather than leading-edge AI chip nodes dominated by TSMC, mature-node demand is driven by power management ICs, sensors, MCUs, and connectivity chips that are essential components in AI infrastructure systems. The competitive risk is that TSMC's dominance could squeeze UMC's share, but AI as a technology increases aggregate semiconductor demand rather than threatening foundry models. AI Opportunity (1/1): UMC projects AI-related revenue of approximately $300M in 2026 and more than $1B within three years, primarily from silicon photonics production at its Singapore fab for AI data center optical interconnects [1]. The 22nm platform also serves AI-adjacent applications including edge computing controllers and automotive AI processors.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UMC Q1-Q2 2026 Earnings — Q2 Revenue NT$68.73B (+17% YoY), 32.5% Gross Margin, AI Revenue ~$300M Projected, Q3 Guidance Mid-30% Margin — SEC 6-K, Yahoo Finance, MarketBeat, July 2026</w:t>
      </w:r>
    </w:p>
    <w:p>
      <w:pPr>
        <w:spacing w:before="20" w:after="20"/>
        <w:ind w:left="170"/>
      </w:pPr>
      <w:r>
        <w:rPr>
          <w:rFonts w:ascii="Calibri" w:hAnsi="Calibri"/>
          <w:b/>
          <w:color w:val="4A6B25"/>
          <w:sz w:val="15"/>
        </w:rPr>
        <w:t xml:space="preserve">2. </w:t>
      </w:r>
      <w:r>
        <w:rPr>
          <w:rFonts w:ascii="Calibri" w:hAnsi="Calibri"/>
          <w:b w:val="0"/>
          <w:color w:val="3A4A28"/>
          <w:sz w:val="17"/>
        </w:rPr>
        <w:t>UMC Leadership and Culture — Jason Wang Named CEO (Feb 2026), Glassdoor 2.9/5 (432 Reviews, 36% Recommend, 2.0 Work-Life Balance) — SeekingAlpha, Glassdoor, UMC.com, February 2026</w:t>
      </w:r>
    </w:p>
    <w:p>
      <w:pPr>
        <w:spacing w:before="20" w:after="20"/>
        <w:ind w:left="170"/>
      </w:pPr>
      <w:r>
        <w:rPr>
          <w:rFonts w:ascii="Calibri" w:hAnsi="Calibri"/>
          <w:b/>
          <w:color w:val="4A6B25"/>
          <w:sz w:val="15"/>
        </w:rPr>
        <w:t xml:space="preserve">3. </w:t>
      </w:r>
      <w:r>
        <w:rPr>
          <w:rFonts w:ascii="Calibri" w:hAnsi="Calibri"/>
          <w:b w:val="0"/>
          <w:color w:val="3A4A28"/>
          <w:sz w:val="17"/>
        </w:rPr>
        <w:t>UMC ESG and Governance — S&amp;P Global Sustainability Yearbook Top 1%, AA MSCI ESG, DOJ Trade Secret Plea ($60M Fine, 2020) — UMC.com, MarketScreener, Global Investigations Review, 2020-2026</w:t>
      </w:r>
    </w:p>
    <w:p>
      <w:pPr>
        <w:spacing w:before="20" w:after="20"/>
        <w:ind w:left="170"/>
      </w:pPr>
      <w:r>
        <w:rPr>
          <w:rFonts w:ascii="Calibri" w:hAnsi="Calibri"/>
          <w:b/>
          <w:color w:val="4A6B25"/>
          <w:sz w:val="15"/>
        </w:rPr>
        <w:t xml:space="preserve">4. </w:t>
      </w:r>
      <w:r>
        <w:rPr>
          <w:rFonts w:ascii="Calibri" w:hAnsi="Calibri"/>
          <w:b w:val="0"/>
          <w:color w:val="3A4A28"/>
          <w:sz w:val="17"/>
        </w:rPr>
        <w:t>UMC Financial Metrics — Stock Price $22.55, Market Cap $56.6B, Forward P/E 25.68, PEG 1.19, ROE 21.3%, D/E 14.3%, Profit Margin 33.3% — Yahoo Finance,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