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UNM</w:t>
      </w:r>
      <w:r>
        <w:rPr>
          <w:rFonts w:ascii="Calibri" w:hAnsi="Calibri"/>
          <w:b/>
          <w:color w:val="1A2010"/>
          <w:sz w:val="40"/>
        </w:rPr>
        <w:t xml:space="preserve">  Unum Group</w:t>
      </w:r>
    </w:p>
    <w:p>
      <w:pPr>
        <w:spacing w:after="120"/>
      </w:pPr>
      <w:r>
        <w:rPr>
          <w:rFonts w:ascii="Calibri" w:hAnsi="Calibri"/>
          <w:b/>
          <w:color w:val="6E8450"/>
          <w:sz w:val="18"/>
        </w:rPr>
        <w:t>DIVIDEND SLEEVE · 2026-09-17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Life · NYSE · United States</w:t>
      </w:r>
    </w:p>
    <w:p>
      <w:pPr>
        <w:spacing w:after="80"/>
      </w:pPr>
      <w:r>
        <w:rPr>
          <w:rFonts w:ascii="Calibri" w:hAnsi="Calibri"/>
          <w:b w:val="0"/>
          <w:color w:val="3A4A28"/>
          <w:sz w:val="20"/>
        </w:rPr>
        <w:t>Unum Group provides group and individual disability, life, critical illness, accident, and supplemental health insurance, along with dental and vision coverage through its Colonial Life subsidiary, serving employers and individuals across the United States, United Kingdom, and Poland.</w:t>
      </w:r>
    </w:p>
    <w:p>
      <w:r>
        <w:rPr>
          <w:rFonts w:ascii="Calibri" w:hAnsi="Calibri"/>
          <w:b/>
          <w:color w:val="6E8450"/>
          <w:sz w:val="18"/>
        </w:rPr>
        <w:t>35,000 Employees · https://www.unum.com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Unum has invested in cloud computing, data analytics, and AI-assisted claims processing to speed adjudication and improve customer experience under CEO Rick McKenney, and has grown into adjacent lines like dental, vision, and leave management[1]. Core premium growth (4.6% in Q2 2025, 2.9% in Q3 2025 on a constant-currency basis) reflects solid execution rather than category-defining product innovation, and Unum is not the clear technology leader among group benefits carriers[2][3].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Unum scores 100% on the Disability Equality Index and promotes a mission of 'protecting employees and families,' but the company's legacy is defined by the early-2000s UnumProvident claims-denial scandal, which triggered a 48-state settlement, $15 million in fines, mandated claims-process restructuring, and re-review of 200,000 disability claims[4]. Ongoing complaints from disability-claimant attorneys regarding long-term disability denials in 2025-2026 suggest the underlying tension between claims cost discipline and policyholder trust has not been fully resolved, capping the inspiration score despite genuine DEI progress[4].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Unum's reported GAAP return on equity (6.4%) and profit margin (5.3%) look modest, but this reflects accounting marks on the bond portfolio (AOCI) rather than underlying economics — the company posted adjusted operating ROE of 20.9% in Q2 2025 and 21.4% in Q3 2025, alongside a conservative 42.7% payout ratio and a forward P/E of just 10x[2][3]. The dividend has grown every year since 2021 and low financial leverage (D/E ~37%) round out a mechanically strong infrastructure profile.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Unum shows infinite-game discipline in steady long-term capital management and product diversification, but its historical claims-denial scandal and recurring modern-day denial complaints undercut the credibility of its stated 'just cause' and weigh down the overall mindset score.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Unum's stated purpose of protecting workers' financial security is undermined by its documented history of systematic claims denial in the 1990s-2000s and continuing plaintiff-attorney reports of contested long-term disability denials in 2025-2026[4].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McKenney has emphasized empowering leaders and diverse decision-making, but public disclosure on frontline claims-team autonomy or internal trust metrics is limited[1].</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Unum competes rationally against MetLife, Lincoln Financial, and Guardian Life on service and pricing in group benefits without evidence of predatory market conduct.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Diversification beyond core disability into dental, vision, and leave management, plus international operations in the UK and Poland, gives Unum multiple growth levers beyond its legacy product line[1].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Rick McKenney has provided 11 years of stable, consistent leadership since 2015, but strategy has been characterized by steady execution rather than bold, high-risk strategic bets[1].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Unum trades at a modest 10x forward earnings despite delivering adjusted operating ROE above 20% and consistent mid-single-digit constant-currency premium growth (4.6% in Q2 2025, 2.9% in Q3 2025), a valuation gap that reflects both insurance-sector skepticism and Unum's legacy reputational baggage from its early-2000s claims-denial scandal[2][3][4]. The balance sheet is conservative (37% D/E, 43% payout ratio) and the dividend has grown for at least 15 consecutive years, supporting the income case for the Dividend sleeve[2]. GAAP return metrics are depressed by interest-rate-driven bond portfolio marks rather than weak underlying earnings power, which the market appears to only partially credit.</w:t>
      </w:r>
    </w:p>
    <w:p>
      <w:pPr>
        <w:spacing w:after="120"/>
      </w:pPr>
      <w:r>
        <w:rPr>
          <w:rFonts w:ascii="Calibri" w:hAnsi="Calibri"/>
          <w:b w:val="0"/>
          <w:color w:val="3A4A28"/>
          <w:sz w:val="20"/>
        </w:rPr>
        <w:t>The central risk to the thesis is reputational and regulatory rather than financial: Unum's history of aggressive claims handling remains a live issue, with plaintiff-side reports of long-term disability denials continuing into 2025-2026, creating headline and litigation risk that could resurface at any time[4]. Combined with only moderate innovation differentiation versus peers and a mission-credibility gap that weighs on the Infinite Game score, a 58/100 overall score places Unum at WATCH — an attractively priced, well-capitalized dividend payer whose valuation discount is not fully unearned.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double-digit adjusted operating ROE (20%+) sustaining dividend growth[2][3]</w:t>
      </w:r>
    </w:p>
    <w:p>
      <w:pPr>
        <w:spacing w:before="40" w:after="40"/>
        <w:ind w:left="283"/>
      </w:pPr>
      <w:r>
        <w:rPr>
          <w:rFonts w:ascii="Calibri" w:hAnsi="Calibri"/>
          <w:b/>
          <w:color w:val="4A6B25"/>
          <w:sz w:val="20"/>
        </w:rPr>
        <w:t xml:space="preserve">2. </w:t>
      </w:r>
      <w:r>
        <w:rPr>
          <w:rFonts w:ascii="Calibri" w:hAnsi="Calibri"/>
          <w:b w:val="0"/>
          <w:color w:val="3A4A28"/>
          <w:sz w:val="20"/>
        </w:rPr>
        <w:t>Further diversification into dental, vision, and leave management reducing reliance on legacy disability lines[1]</w:t>
      </w:r>
    </w:p>
    <w:p>
      <w:pPr>
        <w:spacing w:before="40" w:after="40"/>
        <w:ind w:left="283"/>
      </w:pPr>
      <w:r>
        <w:rPr>
          <w:rFonts w:ascii="Calibri" w:hAnsi="Calibri"/>
          <w:b/>
          <w:color w:val="4A6B25"/>
          <w:sz w:val="20"/>
        </w:rPr>
        <w:t xml:space="preserve">3. </w:t>
      </w:r>
      <w:r>
        <w:rPr>
          <w:rFonts w:ascii="Calibri" w:hAnsi="Calibri"/>
          <w:b w:val="0"/>
          <w:color w:val="3A4A28"/>
          <w:sz w:val="20"/>
        </w:rPr>
        <w:t>Potential re-rating if the market credits adjusted operating earnings power over depressed GAAP ROE</w:t>
      </w:r>
    </w:p>
    <w:p>
      <w:pPr>
        <w:spacing w:before="40" w:after="40"/>
        <w:ind w:left="283"/>
      </w:pPr>
      <w:r>
        <w:rPr>
          <w:rFonts w:ascii="Calibri" w:hAnsi="Calibri"/>
          <w:b/>
          <w:color w:val="4A6B25"/>
          <w:sz w:val="20"/>
        </w:rPr>
        <w:t xml:space="preserve">4. </w:t>
      </w:r>
      <w:r>
        <w:rPr>
          <w:rFonts w:ascii="Calibri" w:hAnsi="Calibri"/>
          <w:b w:val="0"/>
          <w:color w:val="3A4A28"/>
          <w:sz w:val="20"/>
        </w:rPr>
        <w:t>AI-driven claims automation improving loss-adjustment expense ratios[1]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Recurring plaintiff-attorney reports of long-term disability claim denials creating litigation and reputational risk[4]</w:t>
      </w:r>
    </w:p>
    <w:p>
      <w:pPr>
        <w:spacing w:before="40" w:after="40"/>
        <w:ind w:left="283"/>
      </w:pPr>
      <w:r>
        <w:rPr>
          <w:rFonts w:ascii="Calibri" w:hAnsi="Calibri"/>
          <w:b/>
          <w:color w:val="4A6B25"/>
          <w:sz w:val="20"/>
        </w:rPr>
        <w:t xml:space="preserve">2. </w:t>
      </w:r>
      <w:r>
        <w:rPr>
          <w:rFonts w:ascii="Calibri" w:hAnsi="Calibri"/>
          <w:b w:val="0"/>
          <w:color w:val="3A4A28"/>
          <w:sz w:val="20"/>
        </w:rPr>
        <w:t>GAAP earnings volatility from bond portfolio AOCI marks obscuring underlying performance</w:t>
      </w:r>
    </w:p>
    <w:p>
      <w:pPr>
        <w:spacing w:before="40" w:after="40"/>
        <w:ind w:left="283"/>
      </w:pPr>
      <w:r>
        <w:rPr>
          <w:rFonts w:ascii="Calibri" w:hAnsi="Calibri"/>
          <w:b/>
          <w:color w:val="4A6B25"/>
          <w:sz w:val="20"/>
        </w:rPr>
        <w:t xml:space="preserve">3. </w:t>
      </w:r>
      <w:r>
        <w:rPr>
          <w:rFonts w:ascii="Calibri" w:hAnsi="Calibri"/>
          <w:b w:val="0"/>
          <w:color w:val="3A4A28"/>
          <w:sz w:val="20"/>
        </w:rPr>
        <w:t>Q2 2025 guidance reaction showed the stock is sensitive to any full-year outlook softness despite in-line results[2]</w:t>
      </w:r>
    </w:p>
    <w:p>
      <w:pPr>
        <w:spacing w:before="40" w:after="40"/>
        <w:ind w:left="283"/>
      </w:pPr>
      <w:r>
        <w:rPr>
          <w:rFonts w:ascii="Calibri" w:hAnsi="Calibri"/>
          <w:b/>
          <w:color w:val="4A6B25"/>
          <w:sz w:val="20"/>
        </w:rPr>
        <w:t xml:space="preserve">4. </w:t>
      </w:r>
      <w:r>
        <w:rPr>
          <w:rFonts w:ascii="Calibri" w:hAnsi="Calibri"/>
          <w:b w:val="0"/>
          <w:color w:val="3A4A28"/>
          <w:sz w:val="20"/>
        </w:rPr>
        <w:t>Regulatory scrutiny risk given the company's history with state insurance commissioners and the Department of Labor[4]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is primarily a productivity enabler for Unum's claims processing, underwriting, and fraud-detection workflows, with McKenney describing efforts to 'empower leaders to adopt new technologies that enhance productivity and elevate customer satisfaction'[1]. Group employee benefits distribution runs through entrenched broker and employer relationships with high switching costs, limiting disruption risk from AI-native insurtech entrants.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Rick McKenney biography and leadership commentary, Wikipedia / LinkedIn,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Unum Group Reports Second Quarter 2025 Results, investors.unum.com</w:t>
      </w:r>
    </w:p>
    <w:p>
      <w:pPr>
        <w:spacing w:before="20" w:after="20"/>
        <w:ind w:left="170"/>
      </w:pPr>
      <w:r>
        <w:rPr>
          <w:rFonts w:ascii="Calibri" w:hAnsi="Calibri"/>
          <w:b/>
          <w:color w:val="4A6B25"/>
          <w:sz w:val="15"/>
        </w:rPr>
        <w:t xml:space="preserve">3. </w:t>
      </w:r>
      <w:r>
        <w:rPr>
          <w:rFonts w:ascii="Calibri" w:hAnsi="Calibri"/>
          <w:b w:val="0"/>
          <w:color w:val="3A4A28"/>
          <w:sz w:val="17"/>
        </w:rPr>
        <w:t>Unum Group Reports Third Quarter 2025 Results, investors.unum.com</w:t>
      </w:r>
    </w:p>
    <w:p>
      <w:pPr>
        <w:spacing w:before="20" w:after="20"/>
        <w:ind w:left="170"/>
      </w:pPr>
      <w:r>
        <w:rPr>
          <w:rFonts w:ascii="Calibri" w:hAnsi="Calibri"/>
          <w:b/>
          <w:color w:val="4A6B25"/>
          <w:sz w:val="15"/>
        </w:rPr>
        <w:t xml:space="preserve">4. </w:t>
      </w:r>
      <w:r>
        <w:rPr>
          <w:rFonts w:ascii="Calibri" w:hAnsi="Calibri"/>
          <w:b w:val="0"/>
          <w:color w:val="3A4A28"/>
          <w:sz w:val="17"/>
        </w:rPr>
        <w:t>Unum disability claims denial history and 2004 multistate settlement, disabilitydenials.com / plaintiffmagazine.com</w:t>
      </w:r>
    </w:p>
    <w:p>
      <w:pPr>
        <w:spacing w:before="20" w:after="20"/>
        <w:ind w:left="170"/>
      </w:pPr>
      <w:r>
        <w:rPr>
          <w:rFonts w:ascii="Calibri" w:hAnsi="Calibri"/>
          <w:b/>
          <w:color w:val="4A6B25"/>
          <w:sz w:val="15"/>
        </w:rPr>
        <w:t xml:space="preserve">5. </w:t>
      </w:r>
      <w:r>
        <w:rPr>
          <w:rFonts w:ascii="Calibri" w:hAnsi="Calibri"/>
          <w:b w:val="0"/>
          <w:color w:val="3A4A28"/>
          <w:sz w:val="17"/>
        </w:rPr>
        <w:t>Unum Group DEF 14A FY2026 (Disability Equality Index, ESG governance), SEC EDGAR</w:t>
      </w:r>
    </w:p>
    <w:p>
      <w:pPr>
        <w:spacing w:before="20" w:after="20"/>
        <w:ind w:left="170"/>
      </w:pPr>
      <w:r>
        <w:rPr>
          <w:rFonts w:ascii="Calibri" w:hAnsi="Calibri"/>
          <w:b/>
          <w:color w:val="4A6B25"/>
          <w:sz w:val="15"/>
        </w:rPr>
        <w:t xml:space="preserve">6. </w:t>
      </w:r>
      <w:r>
        <w:rPr>
          <w:rFonts w:ascii="Calibri" w:hAnsi="Calibri"/>
          <w:b w:val="0"/>
          <w:color w:val="3A4A28"/>
          <w:sz w:val="17"/>
        </w:rPr>
        <w:t>Yahoo Finance — UNM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