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USBC</w:t>
      </w:r>
      <w:r>
        <w:rPr>
          <w:rFonts w:ascii="Calibri" w:hAnsi="Calibri"/>
          <w:b/>
          <w:color w:val="1A2010"/>
          <w:sz w:val="40"/>
        </w:rPr>
        <w:t xml:space="preserve">  USBC, Inc.</w:t>
      </w:r>
    </w:p>
    <w:p>
      <w:pPr>
        <w:spacing w:after="120"/>
      </w:pPr>
      <w:r>
        <w:rPr>
          <w:rFonts w:ascii="Calibri" w:hAnsi="Calibri"/>
          <w:b/>
          <w:color w:val="6E8450"/>
          <w:sz w:val="18"/>
        </w:rPr>
        <w:t>GROWTH SLEEVE · 2026-09-20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Financial Technology / Digital Assets · NYSE American · United States</w:t>
      </w:r>
    </w:p>
    <w:p>
      <w:pPr>
        <w:spacing w:after="80"/>
      </w:pPr>
      <w:r>
        <w:rPr>
          <w:rFonts w:ascii="Calibri" w:hAnsi="Calibri"/>
          <w:b w:val="0"/>
          <w:color w:val="3A4A28"/>
          <w:sz w:val="20"/>
        </w:rPr>
        <w:t>USBC, Inc. (formerly Know Labs, Inc.) is a micro-cap company that pivoted in August 2025 from non-invasive health monitoring technology to digital financial services following a $125M strategic acquisition by Greg Kidd's Goldeneye 1995 LLC. The company develops the USBC deposit token — a blockchain-based tokenized deposit embedded with digital identity — and maintains a Bitcoin treasury strategy. It completed divestiture of legacy sensor technology in March 2026 and finalized strategic partnerships with Uphold and Vast Bank. Greg Kidd holds a 92.2% controlling interest. Market cap approximately $198M.</w:t>
      </w:r>
    </w:p>
    <w:p>
      <w:r>
        <w:rPr>
          <w:rFonts w:ascii="Calibri" w:hAnsi="Calibri"/>
          <w:b/>
          <w:color w:val="6E8450"/>
          <w:sz w:val="18"/>
        </w:rPr>
        <w:t>16 Employees · https://investors.usbc.xyz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USBC has no successful product launches or commercial revenue — the company entirely abandoned its prior health monitoring technology (Know Labs) and completed divestiture of legacy sensor assets in March 2026 [1][4]. Revenue is effectively zero. The pivot to tokenized deposits has produced partnership announcements (Uphold, Vast Bank) but no revenue-generating products or validated business model. AI Deployment (0/2): No AI products shipping and no AI-driven cost savings or revenue reported. Market Share (0/2): The USBC deposit token concept is pre-product with zero customers, zero revenue, and zero market share in any category. Pipeline (1/2): Strategic partnerships with Uphold and Vast Bank for the tokenized deposit initiative provide some pipeline visibility and a credible path to product launch, though timelines remain vague and no revenue date has been announced [2]. R&amp;D Intensity (0/1): R&amp;D spending collapsed following the sensor tech divestiture, and with only 16 employees the company lacks meaningful research capability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USBC's stated focus on 'identity, inclusion, innovation, and risk management' is generic corporate boilerplate interchangeable with any fintech company [2]. The mission changed entirely when new ownership acquired the company, demonstrating the purpose is tied to ownership rather than enduring organizational identity. Community Impact (0/2): No evidence of charitable programs, community investment, or philanthropic activity from a 16-employee pre-revenue company [4]. Employee Retention (0/2): With only 16 employees and a complete leadership overhaul in August 2025, no meaningful retention data exists. The entire team was effectively replaced through the acquisition [1]. Insider Buying (1/2): CEO Greg Kidd committed $125M via Goldeneye 1995 LLC to acquire a 92.2% controlling interest, representing significant financial conviction in the company's direction [1]. While this is acquisition-based ownership rather than traditional open-market buying, the financial commitment is substantial.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Average daily volume of 316,371 shares x $0.507 price = $160,400, well below the $1,000,000 minimum liquidity threshold [4]. The stock is too illiquid for IOWN to trade. Underlying fundamentals remain deeply distressed: effectively zero revenue, estimated $25M+ annual net loss, and management disclosed it expects to continue incurring operating losses for the foreseeable future [3]. D/E of 32.7% reflects $15.2M total debt against $3.0M cash, with the company dependent on external financing or Bitcoin treasury appreciation to fund operations. Market cap of $198M is driven entirely by speculative interest in the USBC token concept and Bitcoin treasury rather than earnings power.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USBC under Greg Kidd is playing an overtly finite game — the company completely abandoned its prior health monitoring technology to chase the digital assets and tokenized deposit trend following new ownership. The Bitcoin treasury strategy and token-centric business model prioritize speculative narrative over building enduring value. The $125M acquisition represents financial conviction but not organizational purpose in the Sinek sense, and the company's cause changed entirely with the change in ownership.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USBC's articulated focus on 'identity, inclusion, innovation, and risk management' is marketing language, not a Just Cause [2]. A genuine Just Cause survives leadership transitions — USBC's cause changed entirely when Greg Kidd acquired the company, abandoning health monitoring for digital assets. The pivot to tokenized deposits reflects financial opportunity, not a vision of a better future so bold it can never be fully achieved.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entire leadership team was replaced in August 2025 as part of the $125M acquisition, with Greg Kidd as CEO, Kirk Chapman as COO, and Kitty Payne as CFO [1]. With only 16 employees, a complete organizational overhaul barely one year ago, and the divestiture of the legacy business unit, there is no basis to evaluate organizational trust or team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USBC positions itself in the tokenized deposit space without acknowledging established competitors like Circle (USDC), Paxos, or major banks developing tokenized deposits. The company's messaging focuses exclusively on its own vision rather than competitive learning or self-improvement driven by rivals' strengths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non-invasive health monitoring (Know Labs) to digital financial services (USBC) was technically a dramatic strategic shift, completed with the March 2026 sensor tech divestiture [3]. However, this transformation was driven by new ownership rather than organic strategic evolution in service of an enduring cause — the original company did not choose to evolve; it was purchased and redirected by Goldeneye 1995 LLC.</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Greg Kidd committed $125M via Goldeneye 1995 LLC to acquire controlling interest, demonstrating genuine financial conviction [1]. The strategic partnerships with Uphold and Vast Bank and the Bitcoin treasury strategy show purposeful execution of the new vision. However, the company has no results to sacrifice for long-term gain, and the Bitcoin treasury strategy is trend-following rather than a principled contrarian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USBC, Inc. is a speculative micro-cap ($198M market cap) that completed its corporate transformation by divesting legacy sensor technology in March 2026 and pursuing tokenized deposit solutions through partnerships with Uphold and Vast Bank [2][3]. CEO Greg Kidd's $125M acquisition via Goldeneye 1995 LLC and his background as former Ripple Chief Risk Officer provide credibility in the digital assets space. The USBC token concept — a blockchain-based tokenized deposit embedded with digital identity that pays high-yield rewards — addresses a growing market for regulated digital dollar solutions. Stock price has recovered from lows of $0.29 to $0.507, and D/E of 32.7% indicates manageable leverage structure.</w:t>
      </w:r>
    </w:p>
    <w:p>
      <w:pPr>
        <w:spacing w:after="120"/>
      </w:pPr>
      <w:r>
        <w:rPr>
          <w:rFonts w:ascii="Calibri" w:hAnsi="Calibri"/>
          <w:b w:val="0"/>
          <w:color w:val="3A4A28"/>
          <w:sz w:val="20"/>
        </w:rPr>
        <w:t>The bear case remains overwhelming for any fundamental investor. USBC generates effectively zero revenue and burns an estimated $25M+ annually, with management explicitly expecting continued operating losses for the foreseeable future [3]. The liquidity floor test fails at $160K daily dollar volume (316K shares x $0.507), making the stock unsuitable for institutional investment. The company has no commercial product, no customers, no revenue visibility, and no proprietary technology after the sensor tech divestiture. With only 16 employees and $3M cash against $15.2M debt, the company is entirely dependent on external financing or Bitcoin treasury appreciation to fund operations [4]. Goldeneye 1995 LLC's 92.2% controlling interest creates total governance concentration, and the share structure makes the stock illiquid. The entire investment thesis depends on the tokenized deposit concept eventually generating revenue — an outcome with zero evidence to support 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Launch of the USBC deposit token as a commercial product through the Uphold and Vast Bank partnerships, generating first revenue and validating the $125M acquisition thesis [2]</w:t>
      </w:r>
    </w:p>
    <w:p>
      <w:pPr>
        <w:spacing w:before="40" w:after="40"/>
        <w:ind w:left="283"/>
      </w:pPr>
      <w:r>
        <w:rPr>
          <w:rFonts w:ascii="Calibri" w:hAnsi="Calibri"/>
          <w:b/>
          <w:color w:val="4A6B25"/>
          <w:sz w:val="20"/>
        </w:rPr>
        <w:t xml:space="preserve">2. </w:t>
      </w:r>
      <w:r>
        <w:rPr>
          <w:rFonts w:ascii="Calibri" w:hAnsi="Calibri"/>
          <w:b w:val="0"/>
          <w:color w:val="3A4A28"/>
          <w:sz w:val="20"/>
        </w:rPr>
        <w:t>Bitcoin treasury appreciation — if Bitcoin prices rise, USBC's reserves could fund operations and extend the cash runway before commercial revenue generation</w:t>
      </w:r>
    </w:p>
    <w:p>
      <w:pPr>
        <w:spacing w:before="40" w:after="40"/>
        <w:ind w:left="283"/>
      </w:pPr>
      <w:r>
        <w:rPr>
          <w:rFonts w:ascii="Calibri" w:hAnsi="Calibri"/>
          <w:b/>
          <w:color w:val="4A6B25"/>
          <w:sz w:val="20"/>
        </w:rPr>
        <w:t xml:space="preserve">3. </w:t>
      </w:r>
      <w:r>
        <w:rPr>
          <w:rFonts w:ascii="Calibri" w:hAnsi="Calibri"/>
          <w:b w:val="0"/>
          <w:color w:val="3A4A28"/>
          <w:sz w:val="20"/>
        </w:rPr>
        <w:t>Greg Kidd's industry connections from Ripple could accelerate additional banking partnerships for tokenized deposit distribution beyond the initial Uphold/Vast Bank arrangement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revenue with estimated $25M+ annual losses and only 16 employees — a pre-revenue speculative vehicle with no proven business model and management-acknowledged expectation of continued losses [3][4]</w:t>
      </w:r>
    </w:p>
    <w:p>
      <w:pPr>
        <w:spacing w:before="40" w:after="40"/>
        <w:ind w:left="283"/>
      </w:pPr>
      <w:r>
        <w:rPr>
          <w:rFonts w:ascii="Calibri" w:hAnsi="Calibri"/>
          <w:b/>
          <w:color w:val="4A6B25"/>
          <w:sz w:val="20"/>
        </w:rPr>
        <w:t xml:space="preserve">2. </w:t>
      </w:r>
      <w:r>
        <w:rPr>
          <w:rFonts w:ascii="Calibri" w:hAnsi="Calibri"/>
          <w:b w:val="0"/>
          <w:color w:val="3A4A28"/>
          <w:sz w:val="20"/>
        </w:rPr>
        <w:t>Liquidity floor failure at $160K daily dollar volume makes the stock unsuitable for institutional investment and subject to extreme volatility on minimal trading activity [4]</w:t>
      </w:r>
    </w:p>
    <w:p>
      <w:pPr>
        <w:spacing w:before="40" w:after="40"/>
        <w:ind w:left="283"/>
      </w:pPr>
      <w:r>
        <w:rPr>
          <w:rFonts w:ascii="Calibri" w:hAnsi="Calibri"/>
          <w:b/>
          <w:color w:val="4A6B25"/>
          <w:sz w:val="20"/>
        </w:rPr>
        <w:t xml:space="preserve">3. </w:t>
      </w:r>
      <w:r>
        <w:rPr>
          <w:rFonts w:ascii="Calibri" w:hAnsi="Calibri"/>
          <w:b w:val="0"/>
          <w:color w:val="3A4A28"/>
          <w:sz w:val="20"/>
        </w:rPr>
        <w:t>No proprietary technology after sensor tech divestiture and 92.2% ownership concentration by Goldeneye 1995 LLC create both IP vulnerability and governance risk — the token concept has no IP protection against well-funded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USBC's planned digital asset and tokenized deposit business faces moderate AI exposure. While blockchain infrastructure itself is not directly threatened by AI displacement, AI-powered fintech competitors (robo-advisors, AI-driven trading platforms, smart contract automation) could outcompete USBC's nascent offerings before they reach market [2]. The company has no established moat — no revenue, no customer base, no proprietary technology in its fintech direction after divesting its sensor IP [3]. The tokenized deposit concept has no IP protection and could be replicated by well-funded competitors (Circle, Paxos, major banks) deploying AI-enhanced digital banking solutions. AI Opportunity (0/1): USBC has zero revenue, making it impossible to generate meaningful AI revenue. Any potential for AI integration in identity verification or digital banking remains entirely theoretical with no shipping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Greg Kidd &amp; Know Labs $125M Strategic Acquisition — Goldeneye 1995 LLC 92.2% controlling interest, USBC name/ticker change, Leadership Team (Kidd CEO, Chapman COO, Payne CFO), August 2025</w:t>
      </w:r>
    </w:p>
    <w:p>
      <w:pPr>
        <w:spacing w:before="20" w:after="20"/>
        <w:ind w:left="170"/>
      </w:pPr>
      <w:r>
        <w:rPr>
          <w:rFonts w:ascii="Calibri" w:hAnsi="Calibri"/>
          <w:b/>
          <w:color w:val="4A6B25"/>
          <w:sz w:val="15"/>
        </w:rPr>
        <w:t xml:space="preserve">2. </w:t>
      </w:r>
      <w:r>
        <w:rPr>
          <w:rFonts w:ascii="Calibri" w:hAnsi="Calibri"/>
          <w:b w:val="0"/>
          <w:color w:val="3A4A28"/>
          <w:sz w:val="17"/>
        </w:rPr>
        <w:t>USBC Strategic Direction — Uphold and Vast Bank tokenized deposit partnerships, Bitcoin treasury strategy, USBC token development, Digital Financial Technologies,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USBC SEC Filings (10-Q Q1 and Q2 2026) — Divestiture of legacy sensor technology (March 2026), continued operating losses, controlled company under NYSE American rules,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USBC Key Statistics: $0.507 price, 316K avg volume, D/E 32.7%, $198M market cap, $3M cash, 16 employees,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