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USEG</w:t>
      </w:r>
      <w:r>
        <w:rPr>
          <w:rFonts w:ascii="Calibri" w:hAnsi="Calibri"/>
          <w:b/>
          <w:color w:val="1A2010"/>
          <w:sz w:val="40"/>
        </w:rPr>
        <w:t xml:space="preserve">  Big Sky Industrial Inc.</w:t>
      </w:r>
    </w:p>
    <w:p>
      <w:pPr>
        <w:spacing w:after="120"/>
      </w:pPr>
      <w:r>
        <w:rPr>
          <w:rFonts w:ascii="Calibri" w:hAnsi="Calibri"/>
          <w:b/>
          <w:color w:val="6E8450"/>
          <w:sz w:val="18"/>
        </w:rPr>
        <w:t>GROWTH SLEEVE · 2026-10-21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Industrial Gas &amp; Carbon Management · NCM · United States</w:t>
      </w:r>
    </w:p>
    <w:p>
      <w:pPr>
        <w:spacing w:after="80"/>
      </w:pPr>
      <w:r>
        <w:rPr>
          <w:rFonts w:ascii="Calibri" w:hAnsi="Calibri"/>
          <w:b w:val="0"/>
          <w:color w:val="3A4A28"/>
          <w:sz w:val="20"/>
        </w:rPr>
        <w:t>Big Sky Industrial Inc. (formerly U.S. Energy Corp., rebranded June 2026, ticker changed from USEG to BSIN) is transitioning from a legacy oil and gas exploration company into an integrated industrial gas, carbon management, and energy platform centered on its Big Sky Carbon Hub in Montana. The company reached Final Investment Decision on its processing facility in March 2026, targeting commercial operations in Q1 2027 with expected annual production of ~12 million cubic feet of high-purity helium and ~125,000 metric tons of refined CO2. Q1 FY2026 revenue was $1.6M (down from $2.2M YoY) as legacy E&amp;P assets are divested, with TTM revenue of approximately $6.3M.</w:t>
      </w:r>
    </w:p>
    <w:p>
      <w:r>
        <w:rPr>
          <w:rFonts w:ascii="Calibri" w:hAnsi="Calibri"/>
          <w:b/>
          <w:color w:val="6E8450"/>
          <w:sz w:val="18"/>
        </w:rPr>
        <w:t>20 Employees · https://www.bigskyindustrialinc.com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proven track record in carbon management or helium extraction; the company is a legacy E&amp;P operator that has not yet generated revenue from its new platform [1][2]. The pivot from conventional oil and gas to industrial gas and carbon sequestration is entirely pre-commercial. AI Deployment (0/2): No AI capabilities or deployment across any business segment. Market Share (0/2): Zero market share in helium production or carbon management; the company competes against established industrial gas producers like Air Products and Linde with $6.3M in TTM revenue versus multi-billion-dollar incumbents [1]. Product Pipeline (2/2): The Big Sky Carbon Hub represents a meaningful pipeline — the company reached Final Investment Decision in March 2026, projects $92M in Phase 1 Section 45Q tax credits, and expects commercial operations by Q1 2027 with 12M cubic feet of helium and 125,000 metric tons of CO2 annually [2]. R&amp;D Intensity (1/1): The business model is asset-development rather than R&amp;D intensive, but the company is investing substantially relative to its size to engineer the processing facility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stated mission to build an integrated industrial gas and carbon management platform has environmental undertones through carbon sequestration, but is primarily a financial arbitrage of Section 45Q tax credits rather than a purpose-driven transformation [2][3]. The rebrand from U.S. Energy Corp to Big Sky Industrial signals repositioning but the cause is not yet validated by execution. Community Impact (0/2): No evidence of community engagement, charitable programs, or environmental stewardship beyond the carbon management business model itself; with only 20 employees, the company's footprint is minimal [3]. Employee Retention (0/2): Only 20 full-time employees with no public data on tenure, culture, or turnover; the team is too small and too new in its current form to evaluate meaningfully. Insider Buying (1/2): Management and insiders own approximately 36% of outstanding shares, representing meaningful skin in the game, though the stock has declined 35% over the past year, eroding that alignment's practical value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Debt-to-equity of 13.0% is well below the 70% target (score 1.0), reflecting a conservatively financed balance sheet for a pre-revenue transition company [1]. Forward P/E of 16.1 based on forward EPS of $0.09 is below the 20 target (score 1.0), though this projection assumes successful commercialization of the Big Sky Carbon Hub by Q1 2027, which is highly speculative. Revenue growth of 4.7% YoY falls below the 10% target (score 0.82). ROE of -32.8% and profit margin of -168.5% both score 0.0, reflecting a company burning cash through its transition with no path to profitability until the processing facility reaches commercial operations [1]. PEG and 5-year revenue CAGR are unavailable. Daily dollar volume of $1.33M barely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Big Sky Industrial demonstrates mixed infinite-game characteristics through its bold strategic pivot from legacy E&amp;P to carbon management and helium extraction — a transformation that required abandoning the known business entirely in pursuit of a longer-term platform. The existential flexibility is genuine, but the company lacks the scale, institutional culture, and proven execution to sustain infinite-game thinking beyond the current leadership's vision. With only 20 employees and pre-commercial operations, the company's long-term orientation is aspirational rather than validated.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stated purpose of building an integrated industrial gas and carbon management platform has environmental credentials through CO2 sequestration, but the primary driver appears to be financial — capturing $92M in Section 45Q tax credits and helium revenue rather than advancing a cause beyond profit [2]. CEO Ryan Smith frames the Big Sky Carbon Hub as an inflection point, but the cause is untested and could evaporate if 45Q policy changes or commodity prices shift. The rebrand to Big Sky Industrial signals commitment but does not yet constitute a validated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20 full-time employees, the company is too small to meaningfully assess team trust dynamics [1]. No Glassdoor data, no public employee sentiment, no voluntary turnover metrics. The rapid transformation of the business model means most employees are likely recent hires with limited institutional loyalty, and management turnover during the pivot phase creates uncertainty about organizational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management references competitors as sources of learning or improvement. The company operates in the shadow of industrial gas giants — Air Products, Linde, Air Liquide — with combined market caps exceeding $200B, yet management communications focus on the company's own asset development rather than competitive positioning or what can be learned from incumbents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complete strategic pivot from legacy oil and gas E&amp;P to an integrated industrial gas and carbon management platform represents genuine existential flexibility — the company sold its legacy assets, rebranded entirely, and committed to a fundamentally different business model targeting helium and CO2 revenue [2][3]. Reaching Final Investment Decision on the Big Sky Carbon Hub in March 2026 made the pivot irreversible, ranking among the most dramatic corporate transformations at this market cap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a micro-cap company's entire future to a single unproven asset (Big Sky Carbon Hub) with commercial operations over a year away requires genuine courage from management [2]. The $92M projected 45Q tax credit stream and dual helium-CO2 revenue model represent a bold bet for a company with $6.3M in TTM revenue and 20 employees. However, courage is partially offset by the lack of alternatives — the legacy E&amp;P business was declining, so the pivot may reflect necessity as much as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Big Sky Industrial (formerly U.S. Energy Corp, ticker now BSIN) at $1.45 with a $76M market cap is a speculative pre-revenue transformation story — the company has abandoned its legacy E&amp;P business entirely to pursue an integrated industrial gas and carbon management platform anchored by the Big Sky Carbon Hub in Montana [1][2]. The investment case rests on the Q1 2027 commercial launch of helium extraction (~12M cubic feet annually) and CO2 sequestration (~125,000 metric tons), supported by $92M in projected Phase 1 Section 45Q tax credits. With only $6.3M in TTM revenue, a -168% profit margin, and 20 employees, the company is entirely a bet on successful project execution and favorable policy.</w:t>
      </w:r>
    </w:p>
    <w:p>
      <w:pPr>
        <w:spacing w:after="120"/>
      </w:pPr>
      <w:r>
        <w:rPr>
          <w:rFonts w:ascii="Calibri" w:hAnsi="Calibri"/>
          <w:b w:val="0"/>
          <w:color w:val="3A4A28"/>
          <w:sz w:val="20"/>
        </w:rPr>
        <w:t>The risk profile is extreme for a micro-cap in transition. The Big Sky Carbon Hub is a single-asset concentration — any construction delays, permitting issues, or technical problems would be existential [2][3]. Section 45Q tax credit dependence means the business model is vulnerable to political risk, and any change in federal carbon policy could eliminate the primary revenue stream before it begins. The company has been substantially diluting shareholders to fund development, and the 35% stock decline over the past year suggests the market is pricing significant execution doubt. Competition from established industrial gas producers (Air Products, Linde) and carbon capture specialists with deeper pockets and proven technology creates an unfavorable competitive landscape. Insider ownership of 36% provides alignment but also concentrates governance risk in a company with no independent operational track record in its new business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Big Sky Carbon Hub commercial operations launch targeted Q1 2027 — successful commissioning would validate the business model and begin generating helium revenue and Section 45Q tax credits, transforming the company from pre-revenue to cash-generating [2]</w:t>
      </w:r>
    </w:p>
    <w:p>
      <w:pPr>
        <w:spacing w:before="40" w:after="40"/>
        <w:ind w:left="283"/>
      </w:pPr>
      <w:r>
        <w:rPr>
          <w:rFonts w:ascii="Calibri" w:hAnsi="Calibri"/>
          <w:b/>
          <w:color w:val="4A6B25"/>
          <w:sz w:val="20"/>
        </w:rPr>
        <w:t xml:space="preserve">2. </w:t>
      </w:r>
      <w:r>
        <w:rPr>
          <w:rFonts w:ascii="Calibri" w:hAnsi="Calibri"/>
          <w:b w:val="0"/>
          <w:color w:val="3A4A28"/>
          <w:sz w:val="20"/>
        </w:rPr>
        <w:t>Helium market tightness — global helium supply constraints driven by semiconductor manufacturing, MRI, and scientific demand could support premium pricing for high-purity helium from the Montana facility [2]</w:t>
      </w:r>
    </w:p>
    <w:p>
      <w:pPr>
        <w:spacing w:before="40" w:after="40"/>
        <w:ind w:left="283"/>
      </w:pPr>
      <w:r>
        <w:rPr>
          <w:rFonts w:ascii="Calibri" w:hAnsi="Calibri"/>
          <w:b/>
          <w:color w:val="4A6B25"/>
          <w:sz w:val="20"/>
        </w:rPr>
        <w:t xml:space="preserve">3. </w:t>
      </w:r>
      <w:r>
        <w:rPr>
          <w:rFonts w:ascii="Calibri" w:hAnsi="Calibri"/>
          <w:b w:val="0"/>
          <w:color w:val="3A4A28"/>
          <w:sz w:val="20"/>
        </w:rPr>
        <w:t>Potential Phase 2 expansion and additional carbon capture capacity could significantly scale the platform beyond initial $92M projected 45Q credits if Phase 1 execution proves successful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Single-asset concentration risk — the entire business depends on successful Big Sky Carbon Hub construction, commissioning, and operations; any technical, permitting, or cost overrun could be fatal for a company with $6.3M in TTM revenue and 20 employees [1][2]</w:t>
      </w:r>
    </w:p>
    <w:p>
      <w:pPr>
        <w:spacing w:before="40" w:after="40"/>
        <w:ind w:left="283"/>
      </w:pPr>
      <w:r>
        <w:rPr>
          <w:rFonts w:ascii="Calibri" w:hAnsi="Calibri"/>
          <w:b/>
          <w:color w:val="4A6B25"/>
          <w:sz w:val="20"/>
        </w:rPr>
        <w:t xml:space="preserve">2. </w:t>
      </w:r>
      <w:r>
        <w:rPr>
          <w:rFonts w:ascii="Calibri" w:hAnsi="Calibri"/>
          <w:b w:val="0"/>
          <w:color w:val="3A4A28"/>
          <w:sz w:val="20"/>
        </w:rPr>
        <w:t>Section 45Q policy risk — federal carbon credit policy changes or repeal would eliminate the primary revenue assumption underpinning the project economics, and political risk is elevated given shifting U.S. energy policy priorities [2]</w:t>
      </w:r>
    </w:p>
    <w:p>
      <w:pPr>
        <w:spacing w:before="40" w:after="40"/>
        <w:ind w:left="283"/>
      </w:pPr>
      <w:r>
        <w:rPr>
          <w:rFonts w:ascii="Calibri" w:hAnsi="Calibri"/>
          <w:b/>
          <w:color w:val="4A6B25"/>
          <w:sz w:val="20"/>
        </w:rPr>
        <w:t xml:space="preserve">3. </w:t>
      </w:r>
      <w:r>
        <w:rPr>
          <w:rFonts w:ascii="Calibri" w:hAnsi="Calibri"/>
          <w:b w:val="0"/>
          <w:color w:val="3A4A28"/>
          <w:sz w:val="20"/>
        </w:rPr>
        <w:t>Ongoing shareholder dilution to fund development with no established path to self-funding operations — the company's cash burn rate relative to its $76M market cap creates sustained financing risk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The core business of helium extraction and carbon dioxide sequestration is fundamentally physical — geological formations, processing facilities, and pipeline infrastructure cannot be digitized or disrupted by AI [2]. Section 45Q tax credits are policy-driven, and helium demand is driven by semiconductor manufacturing, MRI equipment, and scientific research — sectors where physical supply is the binding constraint. However, the company earns a reduced protection score because it has no commercial operations, no brand moat, and no scale advantages; any well-capitalized competitor could replicate the asset model. AI Opportunity (0/1): No meaningful AI opportunity exists at the company's current stage; AI-enhanced geological modeling or process optimization could eventually yield marginal efficiency gains, but the company's 20-person team has no AI capabilities and the business case rests entirely on physical resource extraction and tax policy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U.S. Energy Corp Q1 FY2026 Earnings — Revenue $1.6M, EPS -$0.08, down from $2.2M YoY, Investing.com transcript summaries, May 2026</w:t>
      </w:r>
    </w:p>
    <w:p>
      <w:pPr>
        <w:spacing w:before="20" w:after="20"/>
        <w:ind w:left="170"/>
      </w:pPr>
      <w:r>
        <w:rPr>
          <w:rFonts w:ascii="Calibri" w:hAnsi="Calibri"/>
          <w:b/>
          <w:color w:val="4A6B25"/>
          <w:sz w:val="15"/>
        </w:rPr>
        <w:t xml:space="preserve">2. </w:t>
      </w:r>
      <w:r>
        <w:rPr>
          <w:rFonts w:ascii="Calibri" w:hAnsi="Calibri"/>
          <w:b w:val="0"/>
          <w:color w:val="3A4A28"/>
          <w:sz w:val="17"/>
        </w:rPr>
        <w:t>U.S. Energy Corp Investor Presentation — Big Sky Carbon Hub FID, $92M Phase 1 45Q credits, 12M cu ft helium, 125K MT CO2 targets, Barchart/StockTitan, 2026</w:t>
      </w:r>
    </w:p>
    <w:p>
      <w:pPr>
        <w:spacing w:before="20" w:after="20"/>
        <w:ind w:left="170"/>
      </w:pPr>
      <w:r>
        <w:rPr>
          <w:rFonts w:ascii="Calibri" w:hAnsi="Calibri"/>
          <w:b/>
          <w:color w:val="4A6B25"/>
          <w:sz w:val="15"/>
        </w:rPr>
        <w:t xml:space="preserve">3. </w:t>
      </w:r>
      <w:r>
        <w:rPr>
          <w:rFonts w:ascii="Calibri" w:hAnsi="Calibri"/>
          <w:b w:val="0"/>
          <w:color w:val="3A4A28"/>
          <w:sz w:val="17"/>
        </w:rPr>
        <w:t>Big Sky Industrial Rebrand — Name change from U.S. Energy Corp effective June 2026, ticker USEG to BSIN, SEC 8-K filings/BriefGlance, 2026</w:t>
      </w:r>
    </w:p>
    <w:p>
      <w:pPr>
        <w:spacing w:before="20" w:after="20"/>
        <w:ind w:left="170"/>
      </w:pPr>
      <w:r>
        <w:rPr>
          <w:rFonts w:ascii="Calibri" w:hAnsi="Calibri"/>
          <w:b/>
          <w:color w:val="4A6B25"/>
          <w:sz w:val="15"/>
        </w:rPr>
        <w:t xml:space="preserve">4. </w:t>
      </w:r>
      <w:r>
        <w:rPr>
          <w:rFonts w:ascii="Calibri" w:hAnsi="Calibri"/>
          <w:b w:val="0"/>
          <w:color w:val="3A4A28"/>
          <w:sz w:val="17"/>
        </w:rPr>
        <w:t>Sevva.ai ESG Profile — SDG Transparency 0.9/10, Environmental 0.0, Social 0.0, Governance 2.7, updated May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