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UTZ</w:t>
      </w:r>
      <w:r>
        <w:rPr>
          <w:rFonts w:ascii="Calibri" w:hAnsi="Calibri"/>
          <w:b/>
          <w:color w:val="1A2010"/>
          <w:sz w:val="40"/>
        </w:rPr>
        <w:t xml:space="preserve">  Utz Brands,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2026-09-17 · Inspire: 54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Packaged Foods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Utz Brands, Inc. manufactures and markets branded salty snacks — including potato chips, pretzels, cheese curls, tortilla chips, and pork rinds — under brands such as Utz, Zapp's, Boulder Canyon, and On The Border, distributed via direct-store-delivery and retail channels primarily in the United States. The company has agreed to be acquired by Germany's Intersnack Group in a $2.9 billion take-private transaction expected to close in Q4 2026.</w:t>
      </w:r>
    </w:p>
    <w:p>
      <w:r>
        <w:rPr>
          <w:rFonts w:ascii="Calibri" w:hAnsi="Calibri"/>
          <w:b/>
          <w:color w:val="6E8450"/>
          <w:sz w:val="18"/>
        </w:rPr>
        <w:t>5,700 Employees · https://www.utzsnacks.com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Utz's Branded Salty Snacks organic net sales growth accelerated to 4.7% in FY2025 on flavor and better-for-you innovation across Boulder Canyon and its core Utz line, while adjusted EBITDA rose 8.1% on productivity/automation gains in manufacturing and supply chain[1][2]. Total net sales growth remains modest (+2.1% FY2025), and the company is not a technology or category leader relative to Frito-Lay, reflecting solid but incremental innovation rather than a distinctive R&amp;D-driven moat[1].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Utz achieved its DEI goals ahead of schedule, cut GHG emissions 16.6% and packaging waste by 52,000 pounds in a recent reporting year, and integrated a Supplier Code of Conduct aligned to international labor and human rights standards across its supply base[5]. The pending take-private deal preserves 50% family ownership (Rice/Lissette Family Entities) alongside Intersnack, signaling continued commitment to the founding mission even as public accountability and disclosure will diminish once private[3].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Utz's GAAP profitability remains negative (profit margin -2.0%, ROE -3.1%) and revenue growth has been roughly flat over the past three fiscal years, though this masks healthier adjusted metrics (adjusted EBITDA margin 15.0%, up 80bps) and a reasonable 17.1x forward P/E[1][2]. Elevated leverage (D/E ~79%) versus food-sector peers further weighs down the mechanical infrastructure score despite management's guidance for accelerating free cash flow ($60-80 million) in 2026.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Utz shows infinite-game traits in its multi-generation family stewardship and DEI/sustainability follow-through, but the decision to sell the company to Intersnack for cash represents a finite exit event for public shareholders even as the founding family retains a long-term stake.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Utz's snacking mission is modest in scope and the pending sale to a strategic acquirer reframes the company's forward journey as private rather than as an independent long-term public compounder[3].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Achieving DEI goals ahead of schedule and maintaining an associate-centered culture point to reasonable internal trust, though detailed retention data is not disclosed[5].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Utz competes for shelf space and share against Frito-Lay/PepsiCo through brand and regional DSD strength rather than destructive pricing tactics.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Completing a multi-year supply chain and network-optimization investment cycle, and agreeing to partner with a European strategic (Intersnack) rather than remain a smaller standalone public company, reflects pragmatic adaptability to competitive scale pressures[1][3].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Management and the board's decision to accept a 91% premium take-private offer is a reasonable value-maximizing move for shareholders but represents a pragmatic exit rather than a bold bet on continued independent growth[3][4].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Utz Brands has agreed to be acquired by Germany's Intersnack Group for $14.25 per share in cash — a roughly 91% premium to the pre-announcement price — in a $2.9 billion enterprise-value transaction expected to close in Q4 2026, with the founding Rice/Lissette family retaining a 50% stake alongside Intersnack post-close[3][4]. With shares now trading at $14.26, essentially at the deal price, this is functionally a merger-arbitrage situation rather than a standalone growth story: further upside is capped absent a topping bid, and the remaining spread reflects closing-timeline and regulatory risk rather than fundamental re-rating potential[3].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On a standalone fundamental basis, Utz shows steady but unexciting organic growth (2.1% FY2025 net sales, 2-3% guided for 2026) with genuine productivity-driven margin improvement (adjusted EBITDA +8.1%) offset by persistent GAAP losses and elevated leverage[1]. The 58/100 overall score reflects a company with solid brand equity and ESG execution but middling mechanical infrastructure metrics; the pending acquisition is the dominant near-term variable, making this a WATCH position best evaluated as a deal-completion bet rather than a long-term compounder thesis.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Expected close of the Intersnack take-private transaction in Q4 2026 at $14.25/share cash[3]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adjusted EBITDA margin expansion from supply chain productivity gains[1][2]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Branded Salty Snacks organic growth acceleration (4.7% in FY2025) sustaining category share[1]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2026 guided free cash flow acceleration to $60-80 million supporting deal financing confidence[1]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Deal-completion risk: regulatory approval or shareholder vote delays/failure to the Intersnack transaction[3][4]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Limited upside for current holders given the stock already trades near the $14.25 deal price[3]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Persistent negative GAAP profitability and elevated leverage (D/E ~79%) if the deal were to fall through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2026 guidance calls for a 3-6% adjusted EPS decline from higher depreciation, amortization, and tax expense[1]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functions as a manufacturing and supply-chain productivity enabler for Utz — cited as a driver of the 17.5% adjusted EBITDA growth in Q4 2025 despite flat sales — rather than a threat to the branded snacking business model[2]. The more material demand-side risk is health/wellness trends (e.g., GLP-1 drug adoption) rather than AI disruption, and packaged food purchasing remains resistant to AI-native substitution.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Utz Brands Reports Fourth Quarter and Full Year 2025 Results (8-K), SEC EDGAR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Utz Brands Q4 2025 slides: Productivity gains drive 17.5% EBITDA growth despite flat sales, Investing.com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Utz Brands, Inc. and Intersnack Group GmbH &amp; Co. KG Announce Agreement to Take Utz Private, Businesswire, July 20,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Snacks maker Utz Brands to be taken private in $2.9 billion deal, CNBC,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Utz Brands 2023 Environmental, Social, and Governance Report coverage, Environment+Energy Leader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— UTZ key statistics and dividend history,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