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VALE</w:t>
      </w:r>
      <w:r>
        <w:rPr>
          <w:rFonts w:ascii="Calibri" w:hAnsi="Calibri"/>
          <w:b/>
          <w:color w:val="1A2010"/>
          <w:sz w:val="40"/>
        </w:rPr>
        <w:t xml:space="preserve">  Vale S.A.</w:t>
      </w:r>
    </w:p>
    <w:p>
      <w:pPr>
        <w:spacing w:after="120"/>
      </w:pPr>
      <w:r>
        <w:rPr>
          <w:rFonts w:ascii="Calibri" w:hAnsi="Calibri"/>
          <w:b/>
          <w:color w:val="6E8450"/>
          <w:sz w:val="18"/>
        </w:rPr>
        <w:t>DIVIDEND SLEEVE · 2026-10-04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Industrial Metals &amp; Mining · NYSE · Brazil</w:t>
      </w:r>
    </w:p>
    <w:p>
      <w:pPr>
        <w:spacing w:after="80"/>
      </w:pPr>
      <w:r>
        <w:rPr>
          <w:rFonts w:ascii="Calibri" w:hAnsi="Calibri"/>
          <w:b w:val="0"/>
          <w:color w:val="3A4A28"/>
          <w:sz w:val="20"/>
        </w:rPr>
        <w:t>Vale is the world's largest iron ore producer and a major global nickel and copper miner, operating across Brazil, Indonesia, Canada, and other regions. The company operates in two segments: Iron Ore Solutions and Energy Transition Metals. Q1 2026 net revenue rose 14% YoY to $9.26B with net income up 36% to $1.89B and adjusted EBITDA up 21% to $3.9B. Iron ore production reached 69.7 Mt (+3% YoY) with record S11D and Brucutu output. Q2 2026 iron ore EBITDA topped $3B and Base Metals EBITDA surged ~80% YoY. 2026 guidance: iron ore 335-345 Mt, pellets/briquettes 30-34 Mt, copper 350-380 kt, nickel 175-200 kt. Market cap ~$59B.</w:t>
      </w:r>
    </w:p>
    <w:p>
      <w:r>
        <w:rPr>
          <w:rFonts w:ascii="Calibri" w:hAnsi="Calibri"/>
          <w:b/>
          <w:color w:val="6E8450"/>
          <w:sz w:val="18"/>
        </w:rPr>
        <w:t>65,805 Employees · https://vale.com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Vale has incrementally evolved its product mix toward higher-value iron ore solutions — pellet production rose 14% YoY to 8.2 Mt in Q1 2026, and the Capanema and VGR1 growth projects are ramping [1]. The company's briquette technology for low-carbon steelmaking represents genuine product innovation. However, the core business model remains commodity iron ore mining as it has for 80+ years, with no transformative pivot in the last 5 years. AI Deployment (1/2): Vale partnered with ABB to accelerate digital transformation across Brazilian iron ore operations, deploying autonomous trucks at Carajas, remote operation centers, and predictive maintenance systems [2]. The company tests 100% electric trucks and operates Innovation Hubs with universities. However, no specific AI-driven cost savings or revenue figures have been publicly quantified. Market Share (2/2): Vale is the world's largest iron ore producer, competing with BHP and Rio Tinto as the 'Big Three.' Q1 2026 iron ore production of 69.7 Mt with record S11D output demonstrates sustained category leadership [1]. The Northern System at Carajas produces the highest-grade iron ore globally (65%+ Fe content), commanding premium pricing. Product Pipeline (1/2): Growth projects include Capanema (ramping), VGR1 (ramping), and the Voisey's Bay underground mine expansion for nickel, with clear timelines embedded in 2026 guidance [1]. Briquette technology scaled to commercial production. However, these are incremental expansions, not next-generation products. R&amp;D Intensity (0/1): Mining is inherently low-R&amp;D. Vale's spending on technology and innovation, while notable for the sector via the ABB alliance and Innovation Hubs, remains below that of diversified industrials.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Vale's stated purpose — 'to improve life and transform the future together' — is clear and identifies intent beyond profitmaking, but is generic and could apply to any large industrial company [2]. The Brumadinho disaster (270 deaths in 2019) severely undermined credibility of any ESG or purpose claims, though the company has committed billions to remediation [3]. Community Impact (1/2): Post-Brumadinho, Vale committed approximately $7B in reparation payments and community remediation programs, adopted the Global Industry Standard on Tailings Management, and is decommissioning upstream dams [3]. However, communities have issued warnings about 'ongoing abuses,' and pending litigation ($9.67B Mariana court order, UK and Netherlands lawsuits) indicates remediation remains contested. Employee Retention (0/2): Glassdoor rating of 3.9/5 is above the mining/energy industry average, but employee reviews cite 'changing and challenging leadership creating an anxious environment' and limited leadership accessibility [2]. No specific retention or tenure data available for the 65,805-person workforce. Insider Buying (0/2): No evidence of meaningful insider buying by CEO Gustavo Pimenta or other executives. CEO transition from Eduardo Bartolomeo to Pimenta in 2024 was a board-driven succession process.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dividend sleeve methodology. D/E of 54.6% is well within the 70% target, scoring 1.0 at 1x weight — $29.8B cash provides meaningful liquidity buffer [1]. Forward P/E of 7.08x is deeply below the 20 target, scoring 1.0 at 1x weight — the stock trades at a significant discount to BHP (~12x) and Rio Tinto (~10x). ROE of 4.1% is below the 15% target, scoring 0.274 at 1x weight — depressed by trailing one-time charges with forward EPS of $1.94 vs trailing $0.50. Revenue growth YoY of 6.4% (trailing) scores 0.88 at 1x weight; Q1 2026 showed 14% and Q2 showed 19% growth, suggesting acceleration. Revenue growth 5yr CAGR of approximately -5.9% hits the floor (0.0) at 1x weight, reflecting decline from post-COVID commodity peaks. Profit margin of 4.8% scores 0.238 at 1x weight, also depressed by trailing charges. Payout ratio of 159% on trailing earnings exceeds the 100% floor, scoring 0.0 at 1x weight. Consecutive years paid of 20+ (variable but uninterrupted) scores 1.0 at 2x weight. Consecutive years growth of 0 (variable dividends) scores 0.0 at 1x weight. 5yr dividend growth CAGR of approximately 5% scores 0.833 at 2x weight. Weighted sum: 7.06/12 = 5.88, rounds to 6. Liquidity floor easily cleared: $13.76 x 26.3M avg volume = $362M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Vale's 84-year history demonstrates institutional longevity, but the Brumadinho disaster exposed a culture that prioritized production volume over safety — the definition of finite-game thinking. The SEC found Vale 'manipulated multiple dam safety audits' and 'obtained numerous fraudulent stability certificates,' resulting in 270 deaths [3]. CEO Gustavo Pimenta (since 2024) is attempting a cultural reset with $7B+ in reparations and GISTM adoption, but the company's purpose remains generic, its competitive language centers on volume leadership, and the variable dividend policy tied to iron ore prices reflects a commodity-driven identity rather than a cause-driven organization.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Vale's purpose — 'to improve life and transform the future together' — is corporate boilerplate that could be swapped with any multinational [2]. Brumadinho proved this purpose was subordinated to production targets when it mattered most: the SEC found Vale systematically manipulated dam safety audits and obtained fraudulent stability certificates starting in 2016, three years before 270 people died [3]. Post-disaster reforms including $7B+ reparations and GISTM adoption demonstrate institutional learning, but a cause that failed its ultimate test earns only 1 point.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Brumadinho revealed catastrophic organizational dysfunction — engineers falsified dam stability reports, whistleblower concerns were ignored, and sustainability reports fraudulently assured investors about dam safety [3]. The former CEO now faces criminal charges. This represents the antithesis of Sinek's Circle of Safety — an organization where speaking truth to power was not safe and institutional cover-ups prevailed over human safety. Glassdoor reviews (3.9/5) describe 'changing and challenging leadership creating an anxious environment' [2]. Rebuilding trust across 65,805 employees after institutional betrayal of this magnitude requires generational change.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Vale's competitive language consistently focuses on production volume leadership, cost position, and market share relative to BHP and Rio Tinto [1]. Management commentary emphasizes record output at S11D and production targets rather than learning from competitors' strengths. The company frames the Big Three rivalry as a volume contest to win rather than a dynamic that drives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Vale has evolved from a pure iron ore producer toward a diversified critical minerals company — the Vale Base Metals division (nickel, copper) saw EBITDA climb ~80% YoY in Q2 2026 as the energy transition thesis gains traction [1]. The investment in briquette technology for low-carbon steelmaking represents genuine product innovation ahead of the decarbonization curve. However, iron ore still dominates revenue (~75-80%), and the base metals pivot is incremental expansion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Post-Brumadinho, Vale committed $7B+ to reparation and remediation, decommissioned all upstream tailings dams at significant cost, accepted the SEC's $55.9M settlement, and adopted GISTM standards [3]. The company maintained growth capital programs (Capanema, VGR1) during iron ore price downturns. However, the courage was entirely reactive — leadership failed the proactive test by allowing safety standards to erode before the disaster, and the CEO transition to Pimenta was board-orchestrated.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Vale offers deep value at 7.08x forward earnings with an 8.65% dividend yield, underpinned by its position as the world's largest iron ore producer with the highest-grade reserves globally at Carajas [1]. Q1 2026 delivered strong results — revenue up 14% to $9.26B, net income up 36% to $1.89B, EBITDA up 21% to $3.9B — while Q2 iron ore EBITDA topped $3B and Base Metals EBITDA surged ~80% YoY. Forward EPS of $1.94 versus trailing EPS of $0.50 signals massive earnings recovery as one-time charges roll off. The energy transition metals strategy positions Vale to benefit from secular copper and nickel demand for AI data centers, EVs, and renewable infrastructure. D/E of 54.6% and $29.8B cash provide balance sheet flexibility, and 2026 production guidance of 335-345 Mt iron ore is supported by Capanema and VGR1 ramp-ups.</w:t>
      </w:r>
    </w:p>
    <w:p>
      <w:pPr>
        <w:spacing w:after="120"/>
      </w:pPr>
      <w:r>
        <w:rPr>
          <w:rFonts w:ascii="Calibri" w:hAnsi="Calibri"/>
          <w:b w:val="0"/>
          <w:color w:val="3A4A28"/>
          <w:sz w:val="20"/>
        </w:rPr>
        <w:t>The bear case centers on commodity cyclicality, ESG overhang, and governance risk. Iron ore prices remain vulnerable to Chinese steel demand (~60% of global seaborne consumption) — any China construction slowdown would compress margins and force dividend cuts [1]. The Brumadinho legacy persists: the SEC found Vale 'manipulated dam safety audits' and 'obtained fraudulent stability certificates,' the former CEO faces criminal charges, and pending litigation includes a $9.67B Mariana court order and UK ($46B) and Netherlands ($3.8B) lawsuits representing multi-billion-dollar tail risk [3]. Trailing ROE of 4.1% and profit margin of 4.8% are deeply below mining peer averages. The 159% trailing payout ratio is unsustainable and depends entirely on forward earnings recovery materializing. CEO Pimenta took office in 2024 and has not yet weathered a downturn. The 5-year revenue CAGR of -5.9% confirms that current revenues remain below post-COVID commodity peaks. Brazilian political risk and potential mining royalty changes add sovereign risk premium.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7.08x with forward EPS of $1.94 (vs trailing $0.50) implies massive earnings recovery — Q1 2026's 36% net income growth and Q2 iron ore EBITDA above $3B suggest normalization is underway [1]</w:t>
      </w:r>
    </w:p>
    <w:p>
      <w:pPr>
        <w:spacing w:before="40" w:after="40"/>
        <w:ind w:left="283"/>
      </w:pPr>
      <w:r>
        <w:rPr>
          <w:rFonts w:ascii="Calibri" w:hAnsi="Calibri"/>
          <w:b/>
          <w:color w:val="4A6B25"/>
          <w:sz w:val="20"/>
        </w:rPr>
        <w:t xml:space="preserve">2. </w:t>
      </w:r>
      <w:r>
        <w:rPr>
          <w:rFonts w:ascii="Calibri" w:hAnsi="Calibri"/>
          <w:b w:val="0"/>
          <w:color w:val="3A4A28"/>
          <w:sz w:val="20"/>
        </w:rPr>
        <w:t>Base metals EBITDA surging ~80% YoY in Q2 2026 positions Vale as a critical minerals supplier for the energy transition — nickel for EV batteries, copper for AI data center electrical infrastructure and grid expansion [1]</w:t>
      </w:r>
    </w:p>
    <w:p>
      <w:pPr>
        <w:spacing w:before="40" w:after="40"/>
        <w:ind w:left="283"/>
      </w:pPr>
      <w:r>
        <w:rPr>
          <w:rFonts w:ascii="Calibri" w:hAnsi="Calibri"/>
          <w:b/>
          <w:color w:val="4A6B25"/>
          <w:sz w:val="20"/>
        </w:rPr>
        <w:t xml:space="preserve">3. </w:t>
      </w:r>
      <w:r>
        <w:rPr>
          <w:rFonts w:ascii="Calibri" w:hAnsi="Calibri"/>
          <w:b w:val="0"/>
          <w:color w:val="3A4A28"/>
          <w:sz w:val="20"/>
        </w:rPr>
        <w:t>Growth project ramp-ups at Capanema and VGR1 supporting 335-345 Mt iron ore production guidance while premium pellet and briquette volumes expand margins above commodity iron ore pricing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China construction sector deceleration would compress iron ore prices and Vale's margins — Chinese steel mills consume ~60% of seaborne iron ore, making revenue fundamentally dependent on a single end-market's policy decisions [1]</w:t>
      </w:r>
    </w:p>
    <w:p>
      <w:pPr>
        <w:spacing w:before="40" w:after="40"/>
        <w:ind w:left="283"/>
      </w:pPr>
      <w:r>
        <w:rPr>
          <w:rFonts w:ascii="Calibri" w:hAnsi="Calibri"/>
          <w:b/>
          <w:color w:val="4A6B25"/>
          <w:sz w:val="20"/>
        </w:rPr>
        <w:t xml:space="preserve">2. </w:t>
      </w:r>
      <w:r>
        <w:rPr>
          <w:rFonts w:ascii="Calibri" w:hAnsi="Calibri"/>
          <w:b w:val="0"/>
          <w:color w:val="3A4A28"/>
          <w:sz w:val="20"/>
        </w:rPr>
        <w:t>Brumadinho litigation tail risk — former CEO criminal charges, $9.67B Brazilian Mariana court order, and pending UK ($46B) and Netherlands ($3.8B) lawsuits represent multi-billion-dollar contingent liabilities [3]</w:t>
      </w:r>
    </w:p>
    <w:p>
      <w:pPr>
        <w:spacing w:before="40" w:after="40"/>
        <w:ind w:left="283"/>
      </w:pPr>
      <w:r>
        <w:rPr>
          <w:rFonts w:ascii="Calibri" w:hAnsi="Calibri"/>
          <w:b/>
          <w:color w:val="4A6B25"/>
          <w:sz w:val="20"/>
        </w:rPr>
        <w:t xml:space="preserve">3. </w:t>
      </w:r>
      <w:r>
        <w:rPr>
          <w:rFonts w:ascii="Calibri" w:hAnsi="Calibri"/>
          <w:b w:val="0"/>
          <w:color w:val="3A4A28"/>
          <w:sz w:val="20"/>
        </w:rPr>
        <w:t>Variable dividend policy with 159% trailing payout ratio means income investors face severe cut risk if iron ore prices decline, as occurred post-Brumadinho in 2019-2020 when dividends were reduced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Iron ore, nickel, and copper mining are fundamentally physical-world operations that AI structurally cannot displace — extracting minerals from the earth, managing tailings, operating ports, and shipping bulk commodities require irreplaceable physical infrastructure and geological expertise [1]. Vale's operations span remote mine sites in Carajas (Brazil), Indonesia, and Canada where mechanical processes dominate. AI is a clear demand enabler — data centers and AI hardware require massive copper and nickel inputs, directly increasing demand for Vale's energy transition metals portfolio. No analysts identify AI as a substitution risk for mining companies; the primary risks are commodity price cyclicality and governance failures. The physical infrastructure moat — S11D mine, Carajas railway, Ponta da Madeira port terminal — is irreplaceable by software [2]. AI Opportunity (0/1): Vale does not generate revenue from AI products or services. The ABB digital transformation partnership and autonomous mining equipment are cost-reduction tools deployed at scale, not revenue-generating AI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Vale Q1 2026 Earnings and Production Report — Net Revenue $9.26B (+14% YoY), Net Income $1.89B (+36% YoY), EBITDA $3.9B (+21%), Iron Ore 69.7 Mt, Q2 Base Metals EBITDA +80%, TipRanks/SEC Filings/Quartr, April-July 2026</w:t>
      </w:r>
    </w:p>
    <w:p>
      <w:pPr>
        <w:spacing w:before="20" w:after="20"/>
        <w:ind w:left="170"/>
      </w:pPr>
      <w:r>
        <w:rPr>
          <w:rFonts w:ascii="Calibri" w:hAnsi="Calibri"/>
          <w:b/>
          <w:color w:val="4A6B25"/>
          <w:sz w:val="15"/>
        </w:rPr>
        <w:t xml:space="preserve">2. </w:t>
      </w:r>
      <w:r>
        <w:rPr>
          <w:rFonts w:ascii="Calibri" w:hAnsi="Calibri"/>
          <w:b w:val="0"/>
          <w:color w:val="3A4A28"/>
          <w:sz w:val="17"/>
        </w:rPr>
        <w:t>Vale Leadership, Culture, and Innovation — CEO Gustavo Pimenta, ABB Digital Transformation Alliance, Mine of the Future Initiative, Autonomous Trucks, Glassdoor Reviews (3.9/5), vale.com/Glassdoor, 2026</w:t>
      </w:r>
    </w:p>
    <w:p>
      <w:pPr>
        <w:spacing w:before="20" w:after="20"/>
        <w:ind w:left="170"/>
      </w:pPr>
      <w:r>
        <w:rPr>
          <w:rFonts w:ascii="Calibri" w:hAnsi="Calibri"/>
          <w:b/>
          <w:color w:val="4A6B25"/>
          <w:sz w:val="15"/>
        </w:rPr>
        <w:t xml:space="preserve">3. </w:t>
      </w:r>
      <w:r>
        <w:rPr>
          <w:rFonts w:ascii="Calibri" w:hAnsi="Calibri"/>
          <w:b w:val="0"/>
          <w:color w:val="3A4A28"/>
          <w:sz w:val="17"/>
        </w:rPr>
        <w:t>Vale ESG Controversy — SEC Charges for Brumadinho Dam Safety Audit Manipulation, $55.9M Settlement, Former CEO Criminal Charges, $9.67B Mariana Court Order, UK/Netherlands Lawsuits, SEC.gov/Sidley Austin, 2019-2026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