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VAL</w:t>
      </w:r>
      <w:r>
        <w:rPr>
          <w:rFonts w:ascii="Calibri" w:hAnsi="Calibri"/>
          <w:b/>
          <w:color w:val="1A2010"/>
          <w:sz w:val="40"/>
        </w:rPr>
        <w:t xml:space="preserve">  Valaris Limited</w:t>
      </w:r>
    </w:p>
    <w:p>
      <w:pPr>
        <w:spacing w:after="120"/>
      </w:pPr>
      <w:r>
        <w:rPr>
          <w:rFonts w:ascii="Calibri" w:hAnsi="Calibri"/>
          <w:b/>
          <w:color w:val="6E8450"/>
          <w:sz w:val="18"/>
        </w:rPr>
        <w:t>GROWTH SLEEVE · 2026-09-19 · Inspire: 37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Drilling · NYSE · Bermuda</w:t>
      </w:r>
    </w:p>
    <w:p>
      <w:pPr>
        <w:spacing w:after="80"/>
      </w:pPr>
      <w:r>
        <w:rPr>
          <w:rFonts w:ascii="Calibri" w:hAnsi="Calibri"/>
          <w:b w:val="0"/>
          <w:color w:val="3A4A28"/>
          <w:sz w:val="20"/>
        </w:rPr>
        <w:t>Valaris Limited is the world's largest offshore drilling contractor, operating a fleet of ultra-deepwater drillships, versatile semisubmersibles, and modern shallow-water jackups across six continents. Also holds a 50% interest in ARO Drilling, a joint venture with Saudi Aramco. Emerged from Chapter 11 bankruptcy in April 2021. Q2 2026 revenue of $539.2M (down 12.4% YoY) with GAAP EPS $0.72 beating estimates. Record $4.9B backlog — highest in nearly a decade. Pending all-stock acquisition by Transocean announced February 2026.</w:t>
      </w:r>
    </w:p>
    <w:p>
      <w:r>
        <w:rPr>
          <w:rFonts w:ascii="Calibri" w:hAnsi="Calibri"/>
          <w:b/>
          <w:color w:val="6E8450"/>
          <w:sz w:val="18"/>
        </w:rPr>
        <w:t>5,000 Employees · https://www.valaris.com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Valaris emerged from bankruptcy in April 2021 and rebuilt itself into the world's largest offshore driller with $4.9B backlog, but this represents operational recovery and fleet management rather than product innovation or business model transformation [1]. The ARO Drilling JV with Saudi Aramco is a strategic partnership that pre-dated the restructuring. No new service categories or market-defining innovations were launched. AI Deployment (1/2): The ARO Drilling JV conducted a pilot deploying ALTAVE's AI monitoring solution on nine offshore rigs, delivering measurable improvements in safety compliance, operational governance, and risk visibility [3]. This is genuine AI deployment in a safety-critical environment, though it remains a pilot rather than fleet-wide implementation. Market Share (2/2): Valaris operates the world's largest offshore drilling fleet, and the pending Transocean all-stock merger would create the dominant player by combined fleet size and contractual backlog [2]. Record $4.9B backlog — highest in nearly a decade — with $500M+ in new contracts added since Q4 2025 confirms category leadership [1]. Product Pipeline (1/2): $4.9B backlog including the VALARIS DS-4 multi-year extension offshore Brazil through 2030 provides multi-year revenue visibility, but no new service technologies or next-generation rig capabilities were announced with specific development timelines. R&amp;D Intensity (0/1): Offshore drilling is capital-intensive but not R&amp;D-intensive; capital expenditure goes to rig upgrades and maintenance rather than product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Valaris articulates corporate values — integrity, safety, excellence, respect, ingenuity, stewardship — that are professional but interchangeable with any premium industrial services company [3]. No distinctive mission or purpose statement connects the company's work to a broader vision beyond providing reliable offshore drilling services. The pending Transocean merger is framed around scale and financial optimization, not purpose. Community Impact (0/2): No specific charitable programs, foundation activity, or community investment initiatives beyond standard corporate sustainability reporting. The sustainability report focuses on operational emissions reduction rather than community engagement [3]. Employee Retention (0/2): Glassdoor rating of 3.7/5 with 78% recommending the company, placing culture scores 10% above typical energy sector companies [3]. However, some reviews cite 'toxic environment' and 'poor leadership,' and culture &amp; values ratings declined 6% over the past 12 months. No specific tenure or voluntary turnover data available. Insider Buying (0/2): No meaningful net insider buying by CEO Anton Dibowitz or other executives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exceptionally strong profitability metrics offset by revenue decline. D/E of 36.2% is well below the 70% target, reflecting the clean post-bankruptcy balance sheet (1.0 at 1x) [4]. ROE of 33.6% far exceeds the 15% target (1.0 at 2x). Profit margin of 43.95% massively exceeds the 20% target (1.0 at 1x) [4]. Forward P/E of 11.72 is well below the 20 target (1.0 at 1x). Revenue growth YoY of -12.4% is between the -20% floor and 10% target, scoring 0.25 (1x) [1]. Forward PEG is excluded from calculation — earnings growth of -55.3% renders the metric undefined, and 5yr revenue CAGR is distorted by bankruptcy emergence [4]. Weighted sum: 5.25/6 = 8.76, rounded to 9, but conservatively scored at 8 accounting for the excluded growth metrics that would likely score poorly. Liquidity: 1,074,494 avg volume x $83.76 = $90.0M daily dollar volume, easily clearing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Valaris plays a finite game. Strategic decisions — the Transocean merger creating 'the largest by fleet and backlog,' focus on contract backlog growth and quarterly utilization metrics — are oriented around winning the current offshore drilling cycle rather than building for multi-generational endurance. The post-bankruptcy rebuild demonstrated operational competence but not purpose-driven leadership. Competitive language centers on fleet size, backlog, and day rates — classic finite metrics. Culture scores are adequate but trending downward.</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Valaris does not articulate a Just Cause. The company exists to provide offshore drilling services profitably. Corporate values (integrity, safety, excellence, respect, ingenuity, stewardship) are standard industry language that does not describe a vision of a future state worth sacrificing for [3]. The pending Transocean merger is framed in terms of scale advantages, cost synergies, and fleet consolidation — finite game language. Sinek would identify this as a company playing to win the current cycle, not one built around an enduring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Valaris implemented the Workvivo internal communications platform to connect its dispersed offshore workforce, demonstrating investment in employee engagement across a geographically challenging environment [3]. CEO Anton Dibowitz has led since December 2021, providing leadership stability through the post-bankruptcy transition. Glassdoor rating of 3.7/5 with 78% recommending the company is decent for the energy sector. However, some reviews cite 'toxic environment, poor leadership, lack of communication,' and culture scores declined 6% over 12 months [3]. No specific evidence of exceptional trust or employee empowerment beyond standard industry practices.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The Transocean all-stock merger is explicitly framed as creating 'the largest offshore drilling contractor by fleet size and contractual backlog' — language centered on size dominance rather than learning from competitors' strengths [2]. Competitive strategy focuses on fleet scale advantages, pricing power, and market share consolidation, which Sinek would identify as finite competitive thinking. No evidence of management acknowledging rivals' strengths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Chapter 11 bankruptcy and emergence in April 2021 with a clean balance sheet, followed by rebuilding to the world's largest offshore driller with $4.9B backlog, represents organizational reinvention [1]. The ARO Drilling JV with Saudi Aramco demonstrated strategic flexibility in partnering rather than competing independently. However, the company is fundamentally doing the same thing (offshore drilling) with the same assets; the transformation was financial restructuring forced by insolvency, not a purpose-driven strategic pivot.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post-bankruptcy rebuild required difficult decisions about fleet rationalization, contract renegotiation, and organizational restructuring under CEO Dibowitz. Maintaining capital discipline with D/E of 36% while navigating a cyclical downturn demonstrates long-term financial thinking [4]. Multi-year contracts (DS-4 secured into 2030) show commitment to long-duration revenue over spot-market opportunism [1]. However, the Transocean merger surrenders company independence for scale, and no evidence of leadership choosing costly long-term investments over short-term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Valaris trades at a trailing P/E of just 6.3x with 44% net margins, 33.6% ROE, and only 36% D/E — exceptional financial quality for a cyclical company [4]. The $4.9B backlog, highest in nearly a decade with $500M+ added since Q4 2025, provides multi-year revenue visibility including the DS-4 extension offshore Brazil into 2030 [1]. Q2 2026 revenue of $539.2M beat analyst estimates with GAAP EPS of $0.72 significantly above consensus, and the revenue decline moderated from -25% in Q1 to -12.4% in Q2, suggesting the cyclical trough is near [1]. The pending Transocean all-stock merger would create the world's largest offshore drilling contractor, potentially unlocking operational synergies, pricing power, and institutional investor interest in the combined entity [2]. Forward P/E of 11.72 is among the cheapest in the industrial services universe, and with $4.9B backlog converting at high efficiency rates, the earnings trajectory should improve as new contracts replace expiring lower-rate agreements.</w:t>
      </w:r>
    </w:p>
    <w:p>
      <w:pPr>
        <w:spacing w:after="120"/>
      </w:pPr>
      <w:r>
        <w:rPr>
          <w:rFonts w:ascii="Calibri" w:hAnsi="Calibri"/>
          <w:b w:val="0"/>
          <w:color w:val="3A4A28"/>
          <w:sz w:val="20"/>
        </w:rPr>
        <w:t>The bear case centers on cyclical decline, merger uncertainty, and secular headwinds. Revenue fell 12.4% YoY in Q2 and earnings declined 55.3% as the offshore drilling cycle softened, with day rates rolling lower — the gap between trailing P/E of 6.3x and forward P/E of 11.72x signals consensus expects further earnings compression [4]. The Transocean all-stock merger introduces execution risk: integration of two global drilling fleets, potential culture clashes, Transocean's higher leverage, and the exchange ratio may undervalue Valaris shareholders if Transocean's stock declines [2]. Valaris has suspended forward-looking guidance pending the merger, reducing investor visibility. The broader energy transition away from fossil fuels poses a secular headwind for offshore drilling demand, and ESG-conscious capital flows may limit multiple expansion regardless of financial performance. With no dividend and no share buyback program, shareholders depend entirely on capital appreciation or favorable merger terms. The Inspire Impact Score of 37 (ALIGNED) is a positive for faith-based investors but doesn't offset the fundamental cyclical and secular risks.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trough approaching — Q2 2026 decline moderated to -12.4% YoY from -25% in Q1, and $4.9B record backlog should begin converting to higher revenue in H2 2026 and into 2027 as new contracts replace expiring agreements [1]</w:t>
      </w:r>
    </w:p>
    <w:p>
      <w:pPr>
        <w:spacing w:before="40" w:after="40"/>
        <w:ind w:left="283"/>
      </w:pPr>
      <w:r>
        <w:rPr>
          <w:rFonts w:ascii="Calibri" w:hAnsi="Calibri"/>
          <w:b/>
          <w:color w:val="4A6B25"/>
          <w:sz w:val="20"/>
        </w:rPr>
        <w:t xml:space="preserve">2. </w:t>
      </w:r>
      <w:r>
        <w:rPr>
          <w:rFonts w:ascii="Calibri" w:hAnsi="Calibri"/>
          <w:b w:val="0"/>
          <w:color w:val="3A4A28"/>
          <w:sz w:val="20"/>
        </w:rPr>
        <w:t>Transocean all-stock merger creating the world's largest offshore drilling contractor, potentially unlocking $200M+ in operational synergies, pricing power, and institutional investor re-rating [2]</w:t>
      </w:r>
    </w:p>
    <w:p>
      <w:pPr>
        <w:spacing w:before="40" w:after="40"/>
        <w:ind w:left="283"/>
      </w:pPr>
      <w:r>
        <w:rPr>
          <w:rFonts w:ascii="Calibri" w:hAnsi="Calibri"/>
          <w:b/>
          <w:color w:val="4A6B25"/>
          <w:sz w:val="20"/>
        </w:rPr>
        <w:t xml:space="preserve">3. </w:t>
      </w:r>
      <w:r>
        <w:rPr>
          <w:rFonts w:ascii="Calibri" w:hAnsi="Calibri"/>
          <w:b w:val="0"/>
          <w:color w:val="3A4A28"/>
          <w:sz w:val="20"/>
        </w:rPr>
        <w:t>Rising global energy demand driven by AI data center buildout and emerging market electrification increasing long-term offshore drilling activity, particularly in deepwater basins where Valaris has fleet advantages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Cyclical earnings decline — revenue fell 12.4% YoY in Q2 2026 with EPS declining 55.3%, and forward P/E of 11.72x (vs trailing 6.3x) signals consensus expects further earnings compression before recovery [4]</w:t>
      </w:r>
    </w:p>
    <w:p>
      <w:pPr>
        <w:spacing w:before="40" w:after="40"/>
        <w:ind w:left="283"/>
      </w:pPr>
      <w:r>
        <w:rPr>
          <w:rFonts w:ascii="Calibri" w:hAnsi="Calibri"/>
          <w:b/>
          <w:color w:val="4A6B25"/>
          <w:sz w:val="20"/>
        </w:rPr>
        <w:t xml:space="preserve">2. </w:t>
      </w:r>
      <w:r>
        <w:rPr>
          <w:rFonts w:ascii="Calibri" w:hAnsi="Calibri"/>
          <w:b w:val="0"/>
          <w:color w:val="3A4A28"/>
          <w:sz w:val="20"/>
        </w:rPr>
        <w:t>Transocean merger execution risk — all-stock deal exposes Valaris shareholders to Transocean's higher leverage, integration complexity of two global drilling fleets, potential culture clashes, and exchange ratio dilution if Transocean stock declines [2]</w:t>
      </w:r>
    </w:p>
    <w:p>
      <w:pPr>
        <w:spacing w:before="40" w:after="40"/>
        <w:ind w:left="283"/>
      </w:pPr>
      <w:r>
        <w:rPr>
          <w:rFonts w:ascii="Calibri" w:hAnsi="Calibri"/>
          <w:b/>
          <w:color w:val="4A6B25"/>
          <w:sz w:val="20"/>
        </w:rPr>
        <w:t xml:space="preserve">3. </w:t>
      </w:r>
      <w:r>
        <w:rPr>
          <w:rFonts w:ascii="Calibri" w:hAnsi="Calibri"/>
          <w:b w:val="0"/>
          <w:color w:val="3A4A28"/>
          <w:sz w:val="20"/>
        </w:rPr>
        <w:t>Secular energy transition headwinds as global capital flows increasingly favor renewable energy over fossil fuel exploration, potentially limiting long-term offshore drilling investment and constraining rig demand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Offshore drilling is among the most AI-immune businesses. Operating ultra-deepwater drillships and jackup rigs in extreme marine environments requires massive physical infrastructure ($300M+ per rig), highly skilled crews, complex well engineering, and extensive safety and environmental compliance [1]. AI structurally cannot replace the physical act of drilling wells in water depths of 3,000+ meters. Furthermore, AI data center expansion is increasing global electricity demand, which supports long-term oil and gas exploration activity — AI may actually increase demand for Valaris's services. The ARO Drilling JV's deployment of ALTAVE AI monitoring demonstrates that AI is an operational enhancer, not a displacement threat [3]. No analysts have flagged AI as a risk factor for offshore drilling companies. AI Opportunity (0/1): AI monitoring on ARO rigs improves safety and operational governance but does not generate AI-specific revenue. Valaris is an AI adopter for internal operations, not an AI revenue generator.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Valaris Q2 2026 Results — Revenue $539.2M (-12.4% YoY), GAAP EPS $0.72 (beat), Record $4.9B Backlog, Valaris.com/BusinessWire, July 2026</w:t>
      </w:r>
    </w:p>
    <w:p>
      <w:pPr>
        <w:spacing w:before="20" w:after="20"/>
        <w:ind w:left="170"/>
      </w:pPr>
      <w:r>
        <w:rPr>
          <w:rFonts w:ascii="Calibri" w:hAnsi="Calibri"/>
          <w:b/>
          <w:color w:val="4A6B25"/>
          <w:sz w:val="15"/>
        </w:rPr>
        <w:t xml:space="preserve">2. </w:t>
      </w:r>
      <w:r>
        <w:rPr>
          <w:rFonts w:ascii="Calibri" w:hAnsi="Calibri"/>
          <w:b w:val="0"/>
          <w:color w:val="3A4A28"/>
          <w:sz w:val="17"/>
        </w:rPr>
        <w:t>Transocean-Valaris All-Stock Merger Announcement — Creating Largest Offshore Drilling Contractor by Fleet and Backlog, February 2026</w:t>
      </w:r>
    </w:p>
    <w:p>
      <w:pPr>
        <w:spacing w:before="20" w:after="20"/>
        <w:ind w:left="170"/>
      </w:pPr>
      <w:r>
        <w:rPr>
          <w:rFonts w:ascii="Calibri" w:hAnsi="Calibri"/>
          <w:b/>
          <w:color w:val="4A6B25"/>
          <w:sz w:val="15"/>
        </w:rPr>
        <w:t xml:space="preserve">3. </w:t>
      </w:r>
      <w:r>
        <w:rPr>
          <w:rFonts w:ascii="Calibri" w:hAnsi="Calibri"/>
          <w:b w:val="0"/>
          <w:color w:val="3A4A28"/>
          <w:sz w:val="17"/>
        </w:rPr>
        <w:t>Valaris Culture and AI — Glassdoor 3.7/5 (78% Recommend), ARO Drilling ALTAVE AI Monitoring Pilot, Workvivo Employee Platform,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VAL Key Statistics: P/E 6.32x, Forward P/E 11.72x, D/E 36.2%, ROE 33.6%, Profit Margin 43.95%, Stock Price $83.76,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