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VEEV</w:t>
      </w:r>
      <w:r>
        <w:rPr>
          <w:rFonts w:ascii="Calibri" w:hAnsi="Calibri"/>
          <w:b/>
          <w:color w:val="1A2010"/>
          <w:sz w:val="40"/>
        </w:rPr>
        <w:t xml:space="preserve">  Veeva Systems Inc.</w:t>
      </w:r>
    </w:p>
    <w:p>
      <w:pPr>
        <w:spacing w:after="120"/>
      </w:pPr>
      <w:r>
        <w:rPr>
          <w:rFonts w:ascii="Calibri" w:hAnsi="Calibri"/>
          <w:b/>
          <w:color w:val="6E8450"/>
          <w:sz w:val="18"/>
        </w:rPr>
        <w:t>GROWTH SLEEVE · 2026-09-13 · Inspire: 43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Life Sciences Cloud Software · NYSE · United States</w:t>
      </w:r>
    </w:p>
    <w:p>
      <w:pPr>
        <w:spacing w:after="80"/>
      </w:pPr>
      <w:r>
        <w:rPr>
          <w:rFonts w:ascii="Calibri" w:hAnsi="Calibri"/>
          <w:b w:val="0"/>
          <w:color w:val="3A4A28"/>
          <w:sz w:val="20"/>
        </w:rPr>
        <w:t>Veeva Systems provides industry-specific cloud software (Vault platform) for the life sciences industry, spanning R&amp;D, clinical, regulatory, quality, safety, and commercial functions, serving over 1,000 customers including most of the top 20 global pharmaceutical companies. Headquartered in Pleasanton, California, Veeva is one of the few large public companies structured as a Public Benefit Corporation since 2021, legally committing to balance shareholder, customer, employee, and societal interests [1][5]. Q2 CY2026 revenue reached $928M (+17.6% YoY), beating estimates by 2.5%, with Vault CRM now live at over 100 customers including 7 of the top 20 biopharmas [1]. Full-year FY2027 guidance raised to $3.68B midpoint.</w:t>
      </w:r>
    </w:p>
    <w:p>
      <w:r>
        <w:rPr>
          <w:rFonts w:ascii="Calibri" w:hAnsi="Calibri"/>
          <w:b/>
          <w:color w:val="6E8450"/>
          <w:sz w:val="18"/>
        </w:rPr>
        <w:t>7,928 Employees · https://www.veeva.com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Veeva executed a multi-year migration of its flagship CRM off the Salesforce platform onto proprietary Vault CRM architecture — a transformative pivot away from the infrastructure dependency the company was originally built on — with over 100 customers now live and 7 of the top 20 biopharmas committed to the platform [1]. Q2 CY2026 revenue reached $928M (+17.6% YoY), full-year guidance was raised to $3.68B, and non-GAAP operating margin expanded to 44.7% from 41.4% a year ago [1]. AI Deployment (2/2): Veeva AI Agents began rolling out across commercial functions (including Vault CRM) in December 2025, with safety, quality, clinical, and regulatory agents following through 2026 [3]. The Agentic Call Report in Vault CRM automates capture of commercial evidence at scale, and Ostro conversational AI enables compliant biopharma brand website interactions — concrete AI products shipping and monetizing [3]. Market Share (2/2): Veeva is the dominant vertical SaaS platform in life sciences, serving most of the top 20 pharmaceutical companies among its 1,000+ customers, effectively defining and owning the category [1]. Product Pipeline (2/2): AI Agents rollout is named with specific sequencing and dates (commercial December 2025; safety/quality/clinical/regulatory expanding through 2026), and the Vault CRM migration continues with a specific, measurable adoption curve giving concrete revenue visibility [1][3]. R&amp;D Intensity (1/1): Veeva sustains premium R&amp;D investment funding the multi-year Vault platform build-out, AI agent development, and proprietary technology stack, consistent with a best-in-class vertical SaaS company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(4/4): Veeva's mission to help life sciences companies bring therapies to patients faster is validated by its unusual legal structure — Veeva converted to a Public Benefit Corporation in 2021, binding the board to balance shareholder returns against customer, employee, and societal interests [5]. This is among the most costly and irreversible mission commitments a public company can make. Founder CEO Peter Gassner has led the company for 19 years with consistent strategic decisions traced to this purpose, including the Vault CRM migration and no-layoff policy through downturns [6]. Community Impact (1/2): PBC commitments, annual Public Benefit Reports, ISO 14001 certified Environmental Management System, and Supplier Code of Conduct requiring environmental compliance provide directional evidence of stakeholder governance, though no specific dollar-quantified charitable programs were identified [5]. Employee Retention (2/2): Veeva maintains low turnover by software industry standards, supported by unlimited PTO, a no-layoff policy maintained through downturns, and broad employee stock grants making every employee a shareholder. Glassdoor rates Veeva 3.5/5 across 1,552 reviews with a 72% CEO approval rating for Gassner [2][6]. Insider Buying (0/2): No specific evidence of net insider buying by CEO Gassner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 Veeva hits or exceeds nearly every Growth-sleeve target. D/E of 0.02% (essentially zero debt, $151.7M debt against $7.24B cash) scores a perfect 1.0 with 1x weight [4]. ROE of 14.42% (weight 2x) scores 0.961 against the 15% target — the slight miss reflects Veeva's large cash balance diluting return on equity rather than operational weakness [4]. Revenue growth YoY of 17.6% clears the 10% target for 1.0 with 1x weight [1]. Revenue growth 5yr CAGR of ~16.9% clears the 10% target for 1.0 with 2x weight. Forward P/E of 27.18 scores 0.82 against the 20x target/60x floor with 1x weight [4]. Profit margin of 29.34% clears the 20% target for 1.0 with 1x weight [4]. PEG of 0.78 (weight 2x) scores 1.0 against the 1.0 target [4]. Weighted sum 9.74 / max 10 = 9.74, rounds to 10. Liquidity: ~1.76M avg daily volume x $262.40 = ~$461M daily dollar volume, far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Veeva stands out for structurally encoding its long-term orientation: converting to a Public Benefit Corporation in 2021 legally obligates the board to weigh employee, customer, and societal interests alongside shareholder returns, backed by concrete practices (unlimited PTO, no-layoff policy through downturns, universal employee stock grants) [5]. Founder CEO Peter Gassner's 19-year tenure provides exceptional leadership continuity, and the multi-year, high-risk migration off the Salesforce platform to build proprietary Vault CRM demonstrates willingness to make costly structural bets in service of long-term product control [1][6].</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Veeva's purpose — helping life sciences companies bring therapies to market faster while explicitly balancing stakeholder interests — is genuine, distinctive, and partially validated by the PBC legal structure and 19 years of consistent execution under founder CEO Gassner [5][6]. The PBC conversion in 2021 is among the most costly purpose commitments any large public company has made, constraining pure profit maximization. However, the cause has not yet been tested through a CEO transition (Gassner remains founder/CEO), which prevents full validation under the rubric's 'decades of consistent execution through leadership changes' threshold.</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Concrete policies — unlimited time off, a no-layoff policy maintained through downturns, and broad-based stock grants making every employee a shareholder — combined with a 3.5/5 Glassdoor rating across 1,552 reviews and 72% CEO approval provide strong evidence of a high-trust culture [2][6]. Gassner's emphasis on values, employee empowerment, and annual Public Benefit Reports describing employee wellbeing initiatives reinforce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Veeva competes directly against Salesforce (its former platform partner) and niche life sciences SaaS providers, but no specific public commentary was found showing leadership explicitly and constructively acknowledging rivals' strengths or using competitive pressure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Migrating the flagship Vault CRM product off Salesforce — the platform Veeva was originally built on and had relied on for over a decade — to a fully proprietary architecture was a multi-year, high-risk bet on product independence [1]. This required rebuilding the entire CRM stack while maintaining customer relationships and competitive positioning against the very company whose platform they were leaving. The pivot was driven by strategic conviction (long-term product control) rather than desperation, now validated by 100+ customers live on Vault CRM.</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Two defining examples of costly long-horizon bets: (1) committing the company to Public Benefit Corporation status — a legally binding, irreversible constraint on pure profit maximization — when the stock was performing well and no crisis demanded it [5]; and (2) funding a multi-year platform migration away from Salesforce, accepting competitive risk and customer disruption to secure long-term product independence [1]. Both decisions prioritized durability over short-term optionality, and both have been validated by subsequent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Veeva Systems is a best-in-class vertical SaaS franchise generating $928M quarterly revenue (+17.6% YoY) with a debt-free balance sheet ($7.24B cash), 29.3% profit margin, and non-GAAP operating margin expanding to 44.7% — demonstrating accelerating operating leverage as the Vault platform reaches inflection [1][4]. The company's Public Benefit Corporation structure, 19-year founder-CEO leadership, and demonstrated stakeholder practices (no-layoff policy, universal stock grants) provide genuine differentiation on Inspiration and Infinite Game dimensions [5][6]. With 100+ customers live on Vault CRM including 7 of the top 20 biopharmas, the platform migration de-risks Salesforce dependency while deepening switching costs. Veeva AI Agents rolling out across commercial, safety, quality, clinical, and regulatory functions through 2026 position AI as a monetization opportunity layered on the existing 1,000+ customer base [3]. Full-year guidance was raised to $3.68B.</w:t>
      </w:r>
    </w:p>
    <w:p>
      <w:pPr>
        <w:spacing w:after="120"/>
      </w:pPr>
      <w:r>
        <w:rPr>
          <w:rFonts w:ascii="Calibri" w:hAnsi="Calibri"/>
          <w:b w:val="0"/>
          <w:color w:val="3A4A28"/>
          <w:sz w:val="20"/>
        </w:rPr>
        <w:t>The primary risk is valuation: a 43.02x trailing P/E and 27.18x forward P/E price in sustained mid-teens growth, and any deceleration below the 17.6% run-rate — whether from pharma customer budget pressure, regulatory changes, or competitive inroads from AI-native challengers — could compress the multiple meaningfully [4]. The PEG of 0.78 mitigates some valuation concern, but the stock has rallied significantly and the earnings multiple is rich relative to the 3-year EPS growth forecast of 12.5%. The Vault CRM migration, while well advanced (100+ customers), still carries execution risk during the transition for remaining large pharma accounts with complex validated-system requirements. Insider buying data was not available to corroborate management conviction at current prices. The company has not been tested through a CEO transition — Gassner's eventual departure, whenever it occurs, could introduce uncertainty about whether the PBC culture survives under new leadership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Vault CRM migration momentum accelerating with 100+ customers live and 7 of top 20 biopharmas committed, deepening switching costs and improving margin structure as Salesforce platform fees are eliminated [1]</w:t>
      </w:r>
    </w:p>
    <w:p>
      <w:pPr>
        <w:spacing w:before="40" w:after="40"/>
        <w:ind w:left="283"/>
      </w:pPr>
      <w:r>
        <w:rPr>
          <w:rFonts w:ascii="Calibri" w:hAnsi="Calibri"/>
          <w:b/>
          <w:color w:val="4A6B25"/>
          <w:sz w:val="20"/>
        </w:rPr>
        <w:t xml:space="preserve">2. </w:t>
      </w:r>
      <w:r>
        <w:rPr>
          <w:rFonts w:ascii="Calibri" w:hAnsi="Calibri"/>
          <w:b w:val="0"/>
          <w:color w:val="3A4A28"/>
          <w:sz w:val="20"/>
        </w:rPr>
        <w:t>Veeva AI Agents rollout expanding from commercial (live December 2025) into safety, quality, clinical, and regulatory functions through 2026, creating new monetizable product lines across the 1,000+ customer base with Agentic Call Report capturing commercial evidence at scale [3]</w:t>
      </w:r>
    </w:p>
    <w:p>
      <w:pPr>
        <w:spacing w:before="40" w:after="40"/>
        <w:ind w:left="283"/>
      </w:pPr>
      <w:r>
        <w:rPr>
          <w:rFonts w:ascii="Calibri" w:hAnsi="Calibri"/>
          <w:b/>
          <w:color w:val="4A6B25"/>
          <w:sz w:val="20"/>
        </w:rPr>
        <w:t xml:space="preserve">3. </w:t>
      </w:r>
      <w:r>
        <w:rPr>
          <w:rFonts w:ascii="Calibri" w:hAnsi="Calibri"/>
          <w:b w:val="0"/>
          <w:color w:val="3A4A28"/>
          <w:sz w:val="20"/>
        </w:rPr>
        <w:t>Operating leverage inflection — non-GAAP operating margin expanded from 41.4% to 44.7% YoY with full-year guidance raised to $3.68B, suggesting the Vault platform's unit economics are improving as adoption scales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(43x trailing PE, 27x forward PE) prices in sustained mid-teens growth and leaves limited room for execution missteps or growth deceleration from pharma budget pressure [4]</w:t>
      </w:r>
    </w:p>
    <w:p>
      <w:pPr>
        <w:spacing w:before="40" w:after="40"/>
        <w:ind w:left="283"/>
      </w:pPr>
      <w:r>
        <w:rPr>
          <w:rFonts w:ascii="Calibri" w:hAnsi="Calibri"/>
          <w:b/>
          <w:color w:val="4A6B25"/>
          <w:sz w:val="20"/>
        </w:rPr>
        <w:t xml:space="preserve">2. </w:t>
      </w:r>
      <w:r>
        <w:rPr>
          <w:rFonts w:ascii="Calibri" w:hAnsi="Calibri"/>
          <w:b w:val="0"/>
          <w:color w:val="3A4A28"/>
          <w:sz w:val="20"/>
        </w:rPr>
        <w:t>Emerging AI-native SaaS competitors could target adjacent, less regulation-intensive segments of Veeva's product suite even if core clinical/regulatory Vault applications remain protected by GxP validation requirements [3]</w:t>
      </w:r>
    </w:p>
    <w:p>
      <w:pPr>
        <w:spacing w:before="40" w:after="40"/>
        <w:ind w:left="283"/>
      </w:pPr>
      <w:r>
        <w:rPr>
          <w:rFonts w:ascii="Calibri" w:hAnsi="Calibri"/>
          <w:b/>
          <w:color w:val="4A6B25"/>
          <w:sz w:val="20"/>
        </w:rPr>
        <w:t xml:space="preserve">3. </w:t>
      </w:r>
      <w:r>
        <w:rPr>
          <w:rFonts w:ascii="Calibri" w:hAnsi="Calibri"/>
          <w:b w:val="0"/>
          <w:color w:val="3A4A28"/>
          <w:sz w:val="20"/>
        </w:rPr>
        <w:t>Founder-CEO concentration risk — Peter Gassner has led Veeva for 19 years with no succession plan publicly disclosed; the PBC culture, no-layoff policy, and strategic direction have not been tested through a leadership transition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Veeva's core moat is embedding deeply into GxP-validated, regulatory-critical life sciences workflows — FDA/EMA regulatory requirements, proprietary industry data models, and extreme switching costs make generic AI substitution structurally difficult in clinical, safety, and regulatory Vault applications [1]. The Vault CRM migration with 100+ customers live further entrenches Veeva's position by removing the Salesforce dependency. Some risk exists from AI-native SaaS challengers that could target less regulation-intensive adjacent segments, and the broader narrative around AI compressing incumbent software multiples warrants monitoring, but no analyst commentary specifically flagged Veeva's core life sciences workflows as displaceable [1][3]. AI Opportunity (1/1): Veeva AI Agents (commercial live December 2025, expanding through 2026), Agentic Call Report in Vault CRM, and Ostro conversational AI are shipping as quantifiable new product lines directly monetizing AI within the existing 1,000+ customer base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Veeva Systems Q2 CY2026 Earnings — Revenue $928M (+17.6% YoY), Adj. EPS $2.35 (beat estimates 5.8%), Non-GAAP Operating Margin 44.7%, Vault CRM 100+ Customers Live, Full-Year Guidance Raised to $3.68B, August 2026</w:t>
      </w:r>
    </w:p>
    <w:p>
      <w:pPr>
        <w:spacing w:before="20" w:after="20"/>
        <w:ind w:left="170"/>
      </w:pPr>
      <w:r>
        <w:rPr>
          <w:rFonts w:ascii="Calibri" w:hAnsi="Calibri"/>
          <w:b/>
          <w:color w:val="4A6B25"/>
          <w:sz w:val="15"/>
        </w:rPr>
        <w:t xml:space="preserve">2. </w:t>
      </w:r>
      <w:r>
        <w:rPr>
          <w:rFonts w:ascii="Calibri" w:hAnsi="Calibri"/>
          <w:b w:val="0"/>
          <w:color w:val="3A4A28"/>
          <w:sz w:val="17"/>
        </w:rPr>
        <w:t>Peter Gassner Q1 FY2027 Prepared Remarks — AI Strategy, Vault Platform Expansion, Life Sciences Industry Adoption, June 2026</w:t>
      </w:r>
    </w:p>
    <w:p>
      <w:pPr>
        <w:spacing w:before="20" w:after="20"/>
        <w:ind w:left="170"/>
      </w:pPr>
      <w:r>
        <w:rPr>
          <w:rFonts w:ascii="Calibri" w:hAnsi="Calibri"/>
          <w:b/>
          <w:color w:val="4A6B25"/>
          <w:sz w:val="15"/>
        </w:rPr>
        <w:t xml:space="preserve">3. </w:t>
      </w:r>
      <w:r>
        <w:rPr>
          <w:rFonts w:ascii="Calibri" w:hAnsi="Calibri"/>
          <w:b w:val="0"/>
          <w:color w:val="3A4A28"/>
          <w:sz w:val="17"/>
        </w:rPr>
        <w:t>Veeva AI Roadmap — CRM Bot, AI Agents (Commercial, Safety, Quality, Clinical, Regulatory), Agentic Call Report, Ostro Conversational AI, IntuitionLabs / veeva.com,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VEEV Key Statistics: Stock Price $262.40, PE 43.02, Fwd PE 27.18, PEG 0.78, ROE 14.42%, Profit Margin 29.34%, D/E 0.02,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Veeva Systems Corporate Citizenship — Public Benefit Corporation (2021), ISO 14001 EMS Certification, Annual Public Benefit Reports, Supplier Code of Conduct, veeva.com / SEC filings,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Peter Gassner Leadership Profile — 19-Year Founder/CEO Tenure, Product-Focused Culture, Employee Empowerment, BBNTimes / Clay / LinkedIn,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