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VFLEX</w:t>
      </w:r>
      <w:r>
        <w:rPr>
          <w:rFonts w:ascii="Calibri" w:hAnsi="Calibri"/>
          <w:b/>
          <w:color w:val="1A2010"/>
          <w:sz w:val="40"/>
        </w:rPr>
        <w:t xml:space="preserve">  First Trust Alternative Opportunities Fund (CIA Class)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DIVIDEND SLEEVE · 2026-09-17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27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Financial Services · Closed-End Fund / Alternative Credit · Non-Traded (NAV-priced; quoted on Nasdaq mutual fund tape)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The First Trust Alternative Opportunities Fund (formerly The Relative Value Fund; ticker VFLEX for CIA Class shares) is a continuously-offered, non-diversified closed-end interval fund advised by First Trust Capital Management, L.P. (formerly Vivaldi Asset Management), investing in residential and commercial mortgage-backed securities, CLOs, and other asset-backed securities to pursue absolute returns with monthly income distributions and only quarterly share-repurchase liquidity.</w:t>
      </w:r>
    </w:p>
    <w:p>
      <w:r>
        <w:rPr>
          <w:rFonts w:ascii="Calibri" w:hAnsi="Calibri"/>
          <w:b/>
          <w:color w:val="6E8450"/>
          <w:sz w:val="18"/>
        </w:rPr>
        <w:t>https://www.firsttrustcapital.com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As a pooled structured-credit vehicle rather than an operating business, VFLEX has no product, technology, or R&amp;D pipeline to evaluate under the IOWN innovation checklist; its RMBS/CMBS/CLO/ABS strategy is a conventional approach within the alternative-credit interval fund category rather than a differentiated offering[1][2]. This dimension does not map naturally onto a fund vehicle, and the low score reflects the absence of any operating-company innovation evidence rather than an assessment of investment strategy quality.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VFLEX's stated purpose is limited to generating 'long-term capital appreciation' and 'positive absolute returns' for investors, with no disclosed community-impact program, workforce (the fund itself has no employees), or broader mission beyond return generation[1]. As with innovation, the IOWN inspiration framework is not well suited to a pooled investment vehicle, and no evidence supports a higher score.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545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Standard equity fundamentals (P/E, ROE, revenue growth, margins) are not applicable to a NAV-priced credit fund and are unavailable from equity data providers, and confirmed current distribution-yield data could not be verified from primary sources[3][4]. More fundamentally, VFLEX offers no secondary-market trading — it is a non-traded interval fund with liquidity limited to quarterly repurchase offers typically capped at a minority of NAV — which fails the spirit of the liquidity floor used to screen ordinary equities, even though a dollar-volume figure cannot be computed in the traditional sense.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The Sinek Infinite Game framework is designed to evaluate operating-company leadership behavior and is a poor conceptual fit for a static pooled investment vehicle managed by an outside adviser; scores here reflect that structural mismatch rather than a genuine leadership assessment.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The fund's purpose is return generation for investors, not a broader just cause in the Sinek sense, and there is no company leadership team in the traditional sense to evaluate[1].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VFLEX has no employees of its own; portfolio management is conducted by First Trust Capital Management, L.P., making a 'trusting teams' assessment inapplicable in the intended sense[1].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The fund competes for investor capital against numerous similar structured-credit interval funds without any distinctive competitive posture worth noting.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The strategy has already been renamed and repositioned once (from The Relative Value Fund to First Trust Alternative Opportunities Fund following the 2021 Vivaldi/First Trust transition), showing some adviser-level adaptability[2].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No public evidence of distinctive strategic risk-taking or leadership courage exists for a fund vehicle of this type.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VFLEX is not an operating company but the CIA Class of the First Trust Alternative Opportunities Fund, a non-traded, continuously-offered interval fund that invests in RMBS, CMBS, CLOs, and other asset-backed securities to pursue absolute returns with monthly income distributions[1][2]. Because the IOWN Return on Intention framework is built to evaluate operating businesses (product innovation, workforce culture, AI disruption exposure, and Sinek-style leadership behavior), it does not translate meaningfully to a pooled structured-credit vehicle, and nearly every qualitative dimension in this report reflects that structural mismatch rather than a genuine assessment of the fund's investment merit.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Critically, standard equity liquidity and profitability metrics (P/E, ROE, average daily dollar volume) are not available because VFLEX is not exchange-traded — it offers only quarterly share-repurchase liquidity, typically capped at a minority of NAV, with no public secondary market[1]. This structural illiquidity is treated as equivalent to failing the $1 million/day liquidity floor used elsewhere in this screen. At a 27/100 score, VFLEX is flagged SELL/AVOID within this equity-screening framework — not necessarily as a negative judgment on the fund's investment strategy for accredited/qualified investors seeking structured-credit income, but because this ticker is not a suitable candidate for a stock screener built around publicly-traded operating companies, and this result should be flagged for manual review to confirm it belongs in the coverage universe at all.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None applicable in the traditional equity-catalyst sense; fund performance depends on structured-credit spread and interest-rate conditions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No public secondary market — liquidity is limited to capped quarterly repurchase offers, creating redemption risk in stressed markets[1]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This is a fund vehicle, not an operating company, making the IOWN framework's qualitative dimensions largely inapplicable or unverifiable[1][2]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Exposure to RMBS/CMBS/CLO/ABS credit and interest-rate risk typical of structured-credit strategies[2]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4. </w:t>
      </w:r>
      <w:r>
        <w:rPr>
          <w:rFonts w:ascii="Calibri" w:hAnsi="Calibri"/>
          <w:b w:val="0"/>
          <w:color w:val="3A4A28"/>
          <w:sz w:val="20"/>
        </w:rPr>
        <w:t>Ticker classification risk: VFLEX likely does not belong in an equity stock-screening universe and should be reviewed for data/inclusion accuracy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NEUTRAL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756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756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resilience is not directly applicable to a structured-credit fund vehicle; underlying quantitative credit models could incorporate machine learning for loan/CLO analysis, but no public disclosure confirms this, and the fund's return profile is driven by adviser asset-allocation decisions and interest-rate/credit-spread dynamics rather than by AI adoption or disruption risk[1][2]. A neutral, midpoint score reflects genuine inapplicability rather than an assessed risk level.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First Trust Capital Solutions — VFLEX Product Page, firsttrustcapital.com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First Trust Alternative Opportunities Fund Prospectus (Class A Shares VFLAX), September 2025, firsttrustcapital.com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First Trust Alternative Opportunities Fund N-CSR, SEC EDGAR, fiscal year 2025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MutualFunds.com — VFLEX: First Trust Alternative Opportunities Fund profile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Yahoo Finance — VFLEX quote,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