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VIRC</w:t>
      </w:r>
      <w:r>
        <w:rPr>
          <w:rFonts w:ascii="Calibri" w:hAnsi="Calibri"/>
          <w:b/>
          <w:color w:val="1A2010"/>
          <w:sz w:val="40"/>
        </w:rPr>
        <w:t xml:space="preserve">  Virco Manufacturing Corporation</w:t>
      </w:r>
    </w:p>
    <w:p>
      <w:pPr>
        <w:spacing w:after="120"/>
      </w:pPr>
      <w:r>
        <w:rPr>
          <w:rFonts w:ascii="Calibri" w:hAnsi="Calibri"/>
          <w:b/>
          <w:color w:val="6E8450"/>
          <w:sz w:val="18"/>
        </w:rPr>
        <w:t>GROWTH SLEEVE · 2026-10-14 · Inspire: 47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Furnishings, Fixtures &amp; Appliances · NASDAQ · United States</w:t>
      </w:r>
    </w:p>
    <w:p>
      <w:pPr>
        <w:spacing w:after="80"/>
      </w:pPr>
      <w:r>
        <w:rPr>
          <w:rFonts w:ascii="Calibri" w:hAnsi="Calibri"/>
          <w:b w:val="0"/>
          <w:color w:val="3A4A28"/>
          <w:sz w:val="20"/>
        </w:rPr>
        <w:t>Virco Manufacturing Corporation designs, manufactures, and distributes furniture for the education market, primarily serving preschool through university institutions across the United States and Canada. The company operates a vertically integrated manufacturing campus in Conway, Arkansas with over 2 million square feet of production and warehouse space, producing classroom desks, chairs, tables, storage, and cafeteria furniture. Founded in 1950, Virco is the largest domestic manufacturer of furniture for the educational market. FY2026 (Jan 2026) revenue was $199.7M (-25% YoY) with $2.6M net income; H1 FY2027 revenue declined 6% to $118M with backlog up 13% YoY.</w:t>
      </w:r>
    </w:p>
    <w:p>
      <w:r>
        <w:rPr>
          <w:rFonts w:ascii="Calibri" w:hAnsi="Calibri"/>
          <w:b/>
          <w:color w:val="6E8450"/>
          <w:sz w:val="18"/>
        </w:rPr>
        <w:t>731 Employees · https://www.virco.com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Virco has maintained its position as the largest U.S. manufacturer of educational furniture for 76 years, but there have been no meaningful product launches, market pivots, or business model transformations in the past five years [1]. The company continues to manufacture the same core product categories (desks, chairs, tables) for the same K-12 and higher education customer base, though GREENGUARD certification and EPA WasteWise recognition reflect incremental quality improvements. AI Deployment (0/2): No evidence of AI deployment in any form — Virco is a traditional furniture manufacturer with no disclosed AI-powered products, manufacturing analytics, or customer-facing technology initiatives [2]. Market Share (1/2): Virco positions itself as the largest domestic manufacturer of classroom furniture, representing meaningful share in the educational furnishings niche [1]. However, the market is fragmented with competitors like VS America, Smith System, and Steelcase Education, and FY2026 revenue declined 25% as ESSER funding expired. Pipeline (1/2): H1 FY2027 order backlog increased 13% YoY as of July 2026, and pricing increases under largest contracts have been secured to restore margins, signaling potential recovery [1]. However, no specific next-generation products or new market initiatives are publicly disclosed. R&amp;D Intensity (0/1): No R&amp;D spending data disclosed; competitive advantage derives from manufacturing scale and distribution, not product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Virco's stated purpose — 'Equipment for Educators' — is clear and identifies what the company does and for whom, connecting to the broader purpose of enabling education and learning environments from preschool through university [2]. The 76-year commitment to U.S. manufacturing adds sincerity to the mission, but it lacks a transformative vision of a future state. Community Impact (1/2): Virco was selected as one of three charter members of the EPA's WasteWise Hall of Fame in 2003, with recycling programs dating to 1989 processing over 313 million pounds of recyclable materials, and hundreds of products carry GREENGUARD certification for low chemical emissions [3]. However, recent community investment data and current dollar amounts for social programs are lacking. Employee Retention (1/2): CEO Robert A. Virtue has led the company since 1988 — a remarkable 38-year tenure — with son Douglas Virtue serving as President since 2014, providing extraordinary leadership continuity [2]. Average management tenure of 16.8 years and board tenure of 10.2 years confirm deep organizational stability. Insider Buying (1/2): Robert Virtue's 19.6% ownership stake represents significant alignment with shareholders, constituting meaningful skin-in-the-game commitment to the company's long-term success, though no recent open-market purchases were identified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25,447 shares x $6.50 stock price = $165,406 daily traded value, far below the $1,000,000 minimum threshold [5]. Infrastructure score is automatically 0 regardless of underlying metrics. The financial picture shows signs of potential recovery: forward P/E has compressed dramatically to 3.69x (from 26.8x in August) based on forward EPS of $1.76, suggesting analyst expectations of a meaningful earnings snapback [5]. H1 FY2027 backlog increased 13% YoY and revenue declines are moderating from -25% (FY2026) to -6% (H1 FY2027) [1]. The balance sheet remains conservative with D/E of 33.5% and total debt of $37M against a $102.5M market cap. However, trailing ROE is -2.2% and profit margin is -1.3%, reflecting ongoing operating losses [5]. Despite the improved forward outlook, the stock's $165K daily dollar volume makes it completely untradeable for any institutional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Virco demonstrates strong infinite-game characteristics through its 76-year commitment to American manufacturing and educational furniture, extraordinary leadership continuity (CEO Robert Virtue's 38-year tenure, son Douglas as President, average management tenure 16.8 years), and the family's 19.6% ownership stake aligning leadership with long-term outcomes. The company has endured multiple economic cycles — including the current post-ESSER downturn — while maintaining its core purpose of equipping educators and its commitment to domestic manufacturing. However, the rigid adherence to a single business model for 76 years and inability to diversify beyond educational furniture reflect finite-game limitations in strategic vision.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Virco's 76-year commitment to 'Equipment for Educators' represents a genuine, service-oriented purpose — enabling learning environments across America's schools [2]. The Virtue family's multi-generational stewardship (Robert since 1988, Douglas since 2014) demonstrates that the cause endures beyond any single product cycle. The company's insistence on U.S. manufacturing in Conway, Arkansas reflects values-based decision-making over purely economic optimization. However, the cause is operational ('make great furniture for schools') rather than transformative — it doesn't describe a future state that inspires sacrifice.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CEO Robert Virtue's 38-year tenure is among the longest of any publicly traded company CEO in America [2]. Average management tenure of 16.8 years and board tenure of 10.2 years demonstrate exceptional leadership continuity and organizational stability. With approximately 731 employees across manufacturing facilities, the family-led structure creates closer management-employee relationships. The Virtue family's multi-generational presence (Robert as CEO, Douglas as President) signals a culture where people build long careers — 16.8-year average management tenure provides concrete evidence of employee retention well above industry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Virco competes against VS America, Smith System, Steelcase Education, and various school furniture distributors [2]. The company's competitive response has been to deepen its own manufacturing capabilities, maintain domestic production differentiation, and invest in environmental leadership (EPA WasteWise Hall of Fame, GREENGUARD certification) rather than pursuing a destructive competitive posture. The emphasis on quality and sustainability positions the brand on its own terms rather than attacking rivals.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Virco has maintained the same business model for 76 years — manufacturing furniture for schools [2]. While product lines have evolved incrementally (cafeteria furniture, lab tables, mobile storage, technology-enabled classroom layouts), there has been no fundamental reinvention. The company has not entered adjacent markets (office furniture, residential, healthcare), expanded internationally, or pivoted its business model. Sinek would note that rigid adherence to a single market segment through a severe post-ESSER downturn (-25% revenue) suggests inability to adapt rather than strategic commitment to a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Virtue family's commitment to U.S. manufacturing — maintaining a 2M+ sq ft vertically integrated campus in Conway, AR despite lower-cost offshore alternatives — represents a principled stance that costs money [2]. Maintaining the dividend ($0.10/share) through a 25% revenue decline and near-breakeven profitability shows conviction in cyclical recovery. However, the company has not made counter-cyclical investments or entered new markets during the downturn, suggesting resource constraints rather than courageous strategic choices.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Virco Manufacturing at $6.50 offers deep value backed by the largest domestic educational furniture manufacturer's 76-year operating history, conservative 33.5% D/E balance sheet, and the Virtue family's 19.6% ownership alignment [1][2]. The forward outlook has improved markedly: forward P/E has compressed to 3.69x based on $1.76 forward EPS, H1 FY2027 backlog increased 13% YoY, and revenue declines are moderating from -25% (FY2026) to -6% (H1 FY2027) as the post-ESSER trough bottoms [1]. The Inspire Insight score of 47 (ALIGNED) with zero negative attributions and 6 positive ESG attributes makes this one of the cleanest faith-alignment profiles in the screen universe [3]. CEO Virtue's 38-year tenure, 16.8-year average management tenure, and AI-immune physical manufacturing business provide structural stability.</w:t>
      </w:r>
    </w:p>
    <w:p>
      <w:pPr>
        <w:spacing w:after="120"/>
      </w:pPr>
      <w:r>
        <w:rPr>
          <w:rFonts w:ascii="Calibri" w:hAnsi="Calibri"/>
          <w:b w:val="0"/>
          <w:color w:val="3A4A28"/>
          <w:sz w:val="20"/>
        </w:rPr>
        <w:t>The bear case remains dominant due to the liquidity floor failure. Average daily traded value of $165K (25,447 shares x $6.50) is far below the $1M minimum, making any IOWN position impractical to establish or exit [5]. While the forward earnings outlook has improved dramatically (forward EPS $1.76 implies a recovery to levels above any recent fiscal year), trailing results remain negative with ROE of -2.2% and profit margin of -1.3% [5]. FY2026 revenue declined 25% to $199.7M as ESSER funding expired, and while the rate of decline is moderating, the education furniture market may face a prolonged replacement cycle delay. The $102.5M market cap, 1.54% dividend yield, and lack of analyst coverage provide no institutional support or margin of safety. Even if the earnings recovery materializes as forward estimates suggest, the stock's extreme illiquidity creates unacceptable execution risk for any systematic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H1 FY2027 order backlog increased 13% YoY and revenue declines moderating from -25% to -6%, signaling the post-ESSER education furniture trough may be ending with potential revenue recovery toward $220-240M [1]</w:t>
      </w:r>
    </w:p>
    <w:p>
      <w:pPr>
        <w:spacing w:before="40" w:after="40"/>
        <w:ind w:left="283"/>
      </w:pPr>
      <w:r>
        <w:rPr>
          <w:rFonts w:ascii="Calibri" w:hAnsi="Calibri"/>
          <w:b/>
          <w:color w:val="4A6B25"/>
          <w:sz w:val="20"/>
        </w:rPr>
        <w:t xml:space="preserve">2. </w:t>
      </w:r>
      <w:r>
        <w:rPr>
          <w:rFonts w:ascii="Calibri" w:hAnsi="Calibri"/>
          <w:b w:val="0"/>
          <w:color w:val="3A4A28"/>
          <w:sz w:val="20"/>
        </w:rPr>
        <w:t>Forward P/E compression to 3.69x based on $1.76 forward EPS suggests analysts expect a meaningful earnings snapback, implying substantial upside if the recovery materializes [5]</w:t>
      </w:r>
    </w:p>
    <w:p>
      <w:pPr>
        <w:spacing w:before="40" w:after="40"/>
        <w:ind w:left="283"/>
      </w:pPr>
      <w:r>
        <w:rPr>
          <w:rFonts w:ascii="Calibri" w:hAnsi="Calibri"/>
          <w:b/>
          <w:color w:val="4A6B25"/>
          <w:sz w:val="20"/>
        </w:rPr>
        <w:t xml:space="preserve">3. </w:t>
      </w:r>
      <w:r>
        <w:rPr>
          <w:rFonts w:ascii="Calibri" w:hAnsi="Calibri"/>
          <w:b w:val="0"/>
          <w:color w:val="3A4A28"/>
          <w:sz w:val="20"/>
        </w:rPr>
        <w:t>Conservative balance sheet (D/E 33.5%, $37M total debt) and 76 years of continuous operation ensure the company can survive the downturn and benefit from eventual cyclical recovery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FAILURE: Average daily traded value of $165K (25,447 shares x $6.50) makes the stock completely untradeable for IOWN — exit risk creates potential for outsized losses in any position of meaningful size [5]</w:t>
      </w:r>
    </w:p>
    <w:p>
      <w:pPr>
        <w:spacing w:before="40" w:after="40"/>
        <w:ind w:left="283"/>
      </w:pPr>
      <w:r>
        <w:rPr>
          <w:rFonts w:ascii="Calibri" w:hAnsi="Calibri"/>
          <w:b/>
          <w:color w:val="4A6B25"/>
          <w:sz w:val="20"/>
        </w:rPr>
        <w:t xml:space="preserve">2. </w:t>
      </w:r>
      <w:r>
        <w:rPr>
          <w:rFonts w:ascii="Calibri" w:hAnsi="Calibri"/>
          <w:b w:val="0"/>
          <w:color w:val="3A4A28"/>
          <w:sz w:val="20"/>
        </w:rPr>
        <w:t>Trailing financial deterioration with ROE of -2.2%, profit margin of -1.3%, and FY2026 revenue down 25% to $199.7M — while forward estimates are optimistic, the recovery is not yet confirmed in reported results [1][5]</w:t>
      </w:r>
    </w:p>
    <w:p>
      <w:pPr>
        <w:spacing w:before="40" w:after="40"/>
        <w:ind w:left="283"/>
      </w:pPr>
      <w:r>
        <w:rPr>
          <w:rFonts w:ascii="Calibri" w:hAnsi="Calibri"/>
          <w:b/>
          <w:color w:val="4A6B25"/>
          <w:sz w:val="20"/>
        </w:rPr>
        <w:t xml:space="preserve">3. </w:t>
      </w:r>
      <w:r>
        <w:rPr>
          <w:rFonts w:ascii="Calibri" w:hAnsi="Calibri"/>
          <w:b w:val="0"/>
          <w:color w:val="3A4A28"/>
          <w:sz w:val="20"/>
        </w:rPr>
        <w:t>No technology differentiation, no pricing power beyond cost pass-throughs, and no recurring revenue in a commodity manufacturing business — the education furniture market is fragmented with lower-cost import competition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Virco's core business — manufacturing and distributing physical classroom furniture — is structurally immune to AI disruption [2]. AI cannot replace desks, chairs, tables, and cafeteria furniture required by every school in America. The business involves physical manufacturing, metal and plastic fabrication, logistics, and on-site delivery — all activities requiring physical infrastructure that software cannot replicate. Schools will continue to need furniture regardless of how AI transforms education delivery, and post-COVID trends confirm strong preference for in-person K-12 learning. Virco's 76-year manufacturing expertise and vertically integrated Conway, Arkansas campus with 2M+ square feet represent deep operational moats. Scored 8 rather than 9 because AI-enabled hybrid learning could modestly reduce physical classroom furniture demand at the margin [2]. AI Opportunity (0/1): Virco generates no AI-related revenue and has no AI-powered products, smart furniture, IoT-enabled classroom solutions, or any technology-driven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Virco Manufacturing FY2026 Earnings and H1 FY2027 Update — $199.7M Revenue (-25% YoY), $2.6M Net Income, H1 FY2027 Revenue -6%, Backlog +13% YoY, GeneOnline and Panabee, 2026</w:t>
      </w:r>
    </w:p>
    <w:p>
      <w:pPr>
        <w:spacing w:before="20" w:after="20"/>
        <w:ind w:left="170"/>
      </w:pPr>
      <w:r>
        <w:rPr>
          <w:rFonts w:ascii="Calibri" w:hAnsi="Calibri"/>
          <w:b/>
          <w:color w:val="4A6B25"/>
          <w:sz w:val="15"/>
        </w:rPr>
        <w:t xml:space="preserve">2. </w:t>
      </w:r>
      <w:r>
        <w:rPr>
          <w:rFonts w:ascii="Calibri" w:hAnsi="Calibri"/>
          <w:b w:val="0"/>
          <w:color w:val="3A4A28"/>
          <w:sz w:val="17"/>
        </w:rPr>
        <w:t>Virco Company Website and Wikipedia — Robert Virtue 38-Year CEO Tenure, 19.6% Ownership, Vertically Integrated Conway AR Campus, Equipment for Educators Brand,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EPA WasteWise Hall of Fame Recognition (2003), GREENGUARD Certification, Virco Recycling Programs — 313M+ Pounds Recycled Since 1989,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Simply Wall St and Comparably — Average Management Tenure 16.8 Years, Board Tenure 10.2 Years, Cultural Assessment,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VIRC Price $6.50, Forward P/E 3.69, D/E 33.5%, ROE -2.2%, Dividend Yield 1.54%, Avg Volume 25,447, Market Cap $102.5M,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