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VIRT</w:t>
      </w:r>
      <w:r>
        <w:rPr>
          <w:rFonts w:ascii="Calibri" w:hAnsi="Calibri"/>
          <w:b/>
          <w:color w:val="1A2010"/>
          <w:sz w:val="40"/>
        </w:rPr>
        <w:t xml:space="preserve">  Virtu Financial, Inc.</w:t>
      </w:r>
    </w:p>
    <w:p>
      <w:pPr>
        <w:spacing w:after="120"/>
      </w:pPr>
      <w:r>
        <w:rPr>
          <w:rFonts w:ascii="Calibri" w:hAnsi="Calibri"/>
          <w:b/>
          <w:color w:val="6E8450"/>
          <w:sz w:val="18"/>
        </w:rPr>
        <w:t>GROWTH SLEEVE · 2026-09-28 · Inspire: 16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Virtu Financial is a leading technology-enabled market maker and execution services provider operating across equities, ETFs, fixed income, currencies, commodities, options, and digital assets. Founded in 2008 and headquartered in New York, Virtu provides liquidity globally through two segments: Market Making and Execution Services. The company posted FY2025 revenue of $3.63B (+26.2% YoY) with trading income of $2.44B (+33.7%) and net income of $912.3M, driven by elevated market volatility. Q1 2026 revenue surged 30.7% to $1.095B. Former CTO Aaron Simons was appointed CEO in July 2025, succeeding Douglas Cifu.</w:t>
      </w:r>
    </w:p>
    <w:p>
      <w:r>
        <w:rPr>
          <w:rFonts w:ascii="Calibri" w:hAnsi="Calibri"/>
          <w:b/>
          <w:color w:val="6E8450"/>
          <w:sz w:val="18"/>
        </w:rPr>
        <w:t>1,027 Employees · https://www.virtu.com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Virtu has expanded meaningfully across new markets and asset classes over the last 5 years — adding options market making, ETF block trading, fixed income, and digital assets/cryptocurrency to its original equity market making franchise [1]. The 2019 acquisition of ITG (now Virtu's Execution Services segment) transformed the company from a pure market maker into a diversified trading technology platform. Revenue grew 26.2% in 2025 and 30.7% in Q1 2026, demonstrating continued momentum. AI Deployment (1/2): Virtu's entire business is built on algorithmic and quantitative trading technology — machine learning models drive pricing, risk management, and execution across thousands of securities globally [2]. However, the company does not specifically market AI products or disclose AI-driven revenue separately. The promotion of CTO Aaron Simons to CEO in July 2025 signals that technology leadership is embedded at the highest strategic level. Market Share (1/2): Virtu is one of the top 3 electronic market makers globally alongside Citadel Securities and Jane Street, handling significant daily trading volume across multiple asset classes and 235+ venues in 50+ countries [1]. However, specific market share data is limited, and Citadel Securities is generally considered the category leader. Product Pipeline (1/2): Expansion into ETF block trading services and fixed income markets provides visible growth vectors, and Virtu's push to revise FINRA Rule 5250 to enable paid ETF liquidity provision could open a new revenue stream if successful [3]. R&amp;D Intensity (1/1): As a technology-driven firm where algorithmic systems ARE the product, R&amp;D/technology spending is core to operations and above financial services industry averages. The CTO-to-CEO promotion underscores technology prioritization.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Virtu's stated purpose centers on providing innovative, transparent trading solutions and delivering liquidity to global markets. While this serves a genuine function in financial market infrastructure, it is a generic market maker mission interchangeable with any peer — there is no deeper purpose articulated beyond operational excellence in trading [2]. Community Impact (0/2): No evidence of significant charitable programs, community investment, or social impact initiatives beyond standard corporate operations was identified. Virtu operates as a lean technology firm focused on trading profitability. Employee Retention (1/2): Virtu's culture is described as a 'flat, supportive team culture where people flourish when given opportunities to make a real impact,' combining 'the creativity and speed of a tech startup with the stability and discipline of a financial services firm' [2]. The internal promotion of CTO Aaron Simons to CEO suggests the company develops and retains senior technical talent. However, no specific turnover or tenure data was found. Insider Buying (0/2): No evidence of meaningful net insider buying by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Virtu demonstrates exceptional profitability with ROE of 53.6% (2x weight, well above the 15% target), driven by the capital-efficient market making model [4]. Forward P/E of 7.70x is deeply discounted at less than half the 20x target, reflecting market skepticism about the sustainability of volatility-driven earnings [1]. Revenue growth YoY of 29.1% substantially exceeds the 10% target, and Q1 2026 maintained 30.7% growth momentum. Profit margin of 16.87% is close to the 20% target. The primary weakness is D/E of 415%, far above the 300% floor, scoring 0 — however, this is structural for financial services firms that use leverage as part of their market making business model rather than indicative of distress [4]. Forward PEG and 5yr revenue CAGR data are unavailable. Liquidity is strong at ~$66.5M daily value traded.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Virtu Financial operates with predominantly finite game characteristics — the company exists to capture bid-ask spreads and generate trading profits rather than to advance a cause. The expansion into new asset classes and the CEO succession are positive, but these are profit-driven optimization decisions rather than purpose-driven transformations. The SEC MNPI lawsuit settlement and the company's emphasis on quarterly trading income underscore a results-oriented, financially-focused culture typical of Wall Street firms.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Virtu exists to profit from providing liquidity and capturing bid-ask spreads in financial markets. While market making serves a genuine economic function (price discovery, liquidity provision), Virtu does not articulate a vision of a future state that inspires sacrifice or shapes strategic decisions beyond profitability [2]. The company's competitive language focuses on trading income growth and market expansion rather than advancing a cause. This is a quintessential finite player in Sinek's framework — successful, well-run, but without a purpose beyond winning in the market.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Virtu describes a 'flat, supportive team culture' where 'every individual feels empowered to excel' and 'leadership comes from everyone' [2]. The promotion of CTO Aaron Simons to CEO in July 2025 demonstrates internal talent development and trust in homegrown leadership. The compact workforce of 1,027 employees enables a cohesive, collaborative environment. However, the SEC's 2023 lawsuit alleging failures to protect customer MNPI raises questions about internal controls and information barriers, and no specific retention or tenure data was identified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Virtu operates in an intensely competitive market making industry alongside Citadel Securities and Jane Street, but no evidence of management referencing these rivals as worthy competitors whose strengths drive self-improvement was identified. The competitive posture appears oriented toward market share capture and revenue growth rather than learning from competitors'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Virtu has evolved from a pure equity market maker into a multi-asset trading technology platform — the 2019 ITG acquisition added execution services, and the expansion into options, fixed income, ETFs, and digital assets created multiple new revenue streams [1]. The company has adapted its business model in response to market structure changes and regulatory evolution. However, the core algorithmic market making model remains the foundation, and the diversification has been incremental adjacency expansion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ITG acquisition was a significant strategic bet that diversified Virtu beyond pure market making into execution services and analytics, investing hundreds of millions in a business model expansion. The appointment of CTO Aaron Simons as CEO in July 2025 represents a courageous choice to elevate technology leadership over traditional finance backgrounds [2]. However, these decisions are driven by profit optimization rather than principled sacrifice of near-term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Virtu Financial at 7.70x forward earnings is a deeply discounted technology-driven market maker generating exceptional returns — FY2025 revenue of $3.63B (+26.2%) and trading income of $2.44B (+33.7%) produced ROE of 53.6% and EPS of $5.13, with Q1 2026 accelerating to +30.7% revenue growth and $1.99 EPS [1]. The appointment of former CTO Aaron Simons as CEO in July 2025 signals commitment to technology-first strategy. Virtu benefits structurally from elevated market volatility driven by AI-related trading, geopolitical uncertainty, and macro regime shifts. The expansion into options, fixed income, ETF block trading, and digital assets diversifies revenue beyond equity market making. The low payout ratio of 16% preserves capital for growth investment and share repurchases.</w:t>
      </w:r>
    </w:p>
    <w:p>
      <w:pPr>
        <w:spacing w:after="120"/>
      </w:pPr>
      <w:r>
        <w:rPr>
          <w:rFonts w:ascii="Calibri" w:hAnsi="Calibri"/>
          <w:b w:val="0"/>
          <w:color w:val="3A4A28"/>
          <w:sz w:val="20"/>
        </w:rPr>
        <w:t>The bear case centers on earnings cyclicality and regulatory risk. Virtu's revenue is highly correlated with market volatility — the VIX averaged significantly elevated levels in 2025, and any sustained period of low volatility could compress trading income by 30-50% as occurred in 2017 and 2023, making the current 7.70x forward P/E potentially misleading if normalized earnings are much lower [1]. D/E of 415% reflects structural leverage in the market making model, but this amplifies downside risk in stress scenarios where trading losses or margin calls could impair the balance sheet [4]. The SEC's 2023 lawsuit alleging failures to protect customer MNPI and misleading statements about data safeguards resulted in a settlement, underscoring ongoing regulatory risk for high-frequency trading firms [3]. The dividend yield of only 1.8% with flat $0.96 annual payments since 2023 offers limited income appeal. Market structure reform proposals (SEC order-by-order competition rules) could fundamentally alter Virtu's market making economics by forcing greater transparency and tighter spreads.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elevated market volatility from AI-driven trading, macro uncertainty, and geopolitical tensions continues to drive trading income — Q1 2026 trading income of $789.1M (+33.8%) shows no signs of normalization [1]</w:t>
      </w:r>
    </w:p>
    <w:p>
      <w:pPr>
        <w:spacing w:before="40" w:after="40"/>
        <w:ind w:left="283"/>
      </w:pPr>
      <w:r>
        <w:rPr>
          <w:rFonts w:ascii="Calibri" w:hAnsi="Calibri"/>
          <w:b/>
          <w:color w:val="4A6B25"/>
          <w:sz w:val="20"/>
        </w:rPr>
        <w:t xml:space="preserve">2. </w:t>
      </w:r>
      <w:r>
        <w:rPr>
          <w:rFonts w:ascii="Calibri" w:hAnsi="Calibri"/>
          <w:b w:val="0"/>
          <w:color w:val="3A4A28"/>
          <w:sz w:val="20"/>
        </w:rPr>
        <w:t>Expansion into options market making, fixed income, and ETF block trading diversifies revenue beyond the equity market making core, with potential FINRA Rule 5250 revision enabling a new paid ETF liquidity provision business [3]</w:t>
      </w:r>
    </w:p>
    <w:p>
      <w:pPr>
        <w:spacing w:before="40" w:after="40"/>
        <w:ind w:left="283"/>
      </w:pPr>
      <w:r>
        <w:rPr>
          <w:rFonts w:ascii="Calibri" w:hAnsi="Calibri"/>
          <w:b/>
          <w:color w:val="4A6B25"/>
          <w:sz w:val="20"/>
        </w:rPr>
        <w:t xml:space="preserve">3. </w:t>
      </w:r>
      <w:r>
        <w:rPr>
          <w:rFonts w:ascii="Calibri" w:hAnsi="Calibri"/>
          <w:b w:val="0"/>
          <w:color w:val="3A4A28"/>
          <w:sz w:val="20"/>
        </w:rPr>
        <w:t>CEO Aaron Simons (former CTO) may accelerate technology investment and AI/ML integration that enhances Virtu's competitive position against Citadel Securities and Jane Street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is structurally cyclical with market volatility — a return to low-volatility environments (VIX consistently below 15) could compress trading income 30-50% from current elevated levels, as occurred in 2017 and 2023, making current earnings unsustainable [1]</w:t>
      </w:r>
    </w:p>
    <w:p>
      <w:pPr>
        <w:spacing w:before="40" w:after="40"/>
        <w:ind w:left="283"/>
      </w:pPr>
      <w:r>
        <w:rPr>
          <w:rFonts w:ascii="Calibri" w:hAnsi="Calibri"/>
          <w:b/>
          <w:color w:val="4A6B25"/>
          <w:sz w:val="20"/>
        </w:rPr>
        <w:t xml:space="preserve">2. </w:t>
      </w:r>
      <w:r>
        <w:rPr>
          <w:rFonts w:ascii="Calibri" w:hAnsi="Calibri"/>
          <w:b w:val="0"/>
          <w:color w:val="3A4A28"/>
          <w:sz w:val="20"/>
        </w:rPr>
        <w:t>SEC regulatory risk remains elevated after the 2023 MNPI lawsuit settlement, and proposed market structure reforms (order-by-order competition, tick size changes) could fundamentally alter market making economics and compress bid-ask spread capture [3]</w:t>
      </w:r>
    </w:p>
    <w:p>
      <w:pPr>
        <w:spacing w:before="40" w:after="40"/>
        <w:ind w:left="283"/>
      </w:pPr>
      <w:r>
        <w:rPr>
          <w:rFonts w:ascii="Calibri" w:hAnsi="Calibri"/>
          <w:b/>
          <w:color w:val="4A6B25"/>
          <w:sz w:val="20"/>
        </w:rPr>
        <w:t xml:space="preserve">3. </w:t>
      </w:r>
      <w:r>
        <w:rPr>
          <w:rFonts w:ascii="Calibri" w:hAnsi="Calibri"/>
          <w:b w:val="0"/>
          <w:color w:val="3A4A28"/>
          <w:sz w:val="20"/>
        </w:rPr>
        <w:t>D/E of 415% creates amplified downside risk in stress scenarios — a severe market dislocation with correlated position losses could impair the balance sheet, and leverage ratios this high leave no margin of safety for trading errors or model failures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Virtu's core market making business is protected rather than threatened by AI — the company IS an algorithmic trading operation, and AI/ML advances directly enhance its pricing models, risk management, and execution quality [2]. The regulatory infrastructure (exchange memberships, broker-dealer licenses, capital requirements), proprietary market microstructure data accumulated over 15+ years, and the need for massive real-time computing infrastructure create meaningful barriers that AI alone cannot replicate. The market making industry is consolidating around technology leaders, favoring incumbents like Virtu. The primary exposure is that AI could enable new entrants or client-side algorithms that compress bid-ask spreads, and regulatory changes (SEC market structure reform) could alter the competitive landscape. AI Opportunity (1/1): Virtu's $2.44B in trading income is directly generated by algorithmic and quantitative systems that incorporate machine learning for pricing, risk, and execution — AI is embedded in the revenue-generating core of the business, even though the company does not separately report AI-attributable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Virtu Financial FY2025 Results — Revenue $3.63B (+26.2%), Trading Income $2.44B (+33.7%), Net Income $912.3M, EPS $5.13; Q1 2026: Revenue $1.095B (+30.7%), EPS $1.99 — Virtu IR, SEC Filings, Finance Magnates, January-April 2026</w:t>
      </w:r>
    </w:p>
    <w:p>
      <w:pPr>
        <w:spacing w:before="20" w:after="20"/>
        <w:ind w:left="170"/>
      </w:pPr>
      <w:r>
        <w:rPr>
          <w:rFonts w:ascii="Calibri" w:hAnsi="Calibri"/>
          <w:b/>
          <w:color w:val="4A6B25"/>
          <w:sz w:val="15"/>
        </w:rPr>
        <w:t xml:space="preserve">2. </w:t>
      </w:r>
      <w:r>
        <w:rPr>
          <w:rFonts w:ascii="Calibri" w:hAnsi="Calibri"/>
          <w:b w:val="0"/>
          <w:color w:val="3A4A28"/>
          <w:sz w:val="17"/>
        </w:rPr>
        <w:t>Virtu Financial Leadership — CEO Aaron Simons (former CTO, appointed July 2025), Culture, Innovation Focus — Virtu IR, The Org, BusinessWire, 2025</w:t>
      </w:r>
    </w:p>
    <w:p>
      <w:pPr>
        <w:spacing w:before="20" w:after="20"/>
        <w:ind w:left="170"/>
      </w:pPr>
      <w:r>
        <w:rPr>
          <w:rFonts w:ascii="Calibri" w:hAnsi="Calibri"/>
          <w:b/>
          <w:color w:val="4A6B25"/>
          <w:sz w:val="15"/>
        </w:rPr>
        <w:t xml:space="preserve">3. </w:t>
      </w:r>
      <w:r>
        <w:rPr>
          <w:rFonts w:ascii="Calibri" w:hAnsi="Calibri"/>
          <w:b w:val="0"/>
          <w:color w:val="3A4A28"/>
          <w:sz w:val="17"/>
        </w:rPr>
        <w:t>Virtu Financial Regulatory — SEC MNPI Lawsuit Settlement 2025, FINRA Rule 5250 ETF Proposal, Regulatory Disclosures — Alston &amp; Bird, WealthManagement.com, Virtu Website, 2023-2025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VIRT Key Statistics: Forward P/E 7.70x, ROE 53.62%, Profit Margin 16.87%, D/E 415%, Dividend Yield 1.8%,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