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VLN</w:t>
      </w:r>
      <w:r>
        <w:rPr>
          <w:rFonts w:ascii="Calibri" w:hAnsi="Calibri"/>
          <w:b/>
          <w:color w:val="1A2010"/>
          <w:sz w:val="40"/>
        </w:rPr>
        <w:t xml:space="preserve">  Valens Semiconductor Ltd.</w:t>
      </w:r>
    </w:p>
    <w:p>
      <w:pPr>
        <w:spacing w:after="120"/>
      </w:pPr>
      <w:r>
        <w:rPr>
          <w:rFonts w:ascii="Calibri" w:hAnsi="Calibri"/>
          <w:b/>
          <w:color w:val="6E8450"/>
          <w:sz w:val="18"/>
        </w:rPr>
        <w:t>GROWTH SLEEVE · 2026-09-12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NYSE · Israel</w:t>
      </w:r>
    </w:p>
    <w:p>
      <w:pPr>
        <w:spacing w:after="80"/>
      </w:pPr>
      <w:r>
        <w:rPr>
          <w:rFonts w:ascii="Calibri" w:hAnsi="Calibri"/>
          <w:b w:val="0"/>
          <w:color w:val="3A4A28"/>
          <w:sz w:val="20"/>
        </w:rPr>
        <w:t>Valens Semiconductor is an Israel-based fabless semiconductor company providing high-speed connectivity chipsets for automotive and cross-industry applications. Its MIPI A-PHY standard-compliant VA7000 chipsets enable high-speed data transmission for automotive ADAS cameras, sensors, and displays, while its cross-industry products (now the majority of revenue) serve machine vision, professional AV, and AI-enabled edge connectivity applications. In Q2 2026, Valens reported revenue of $18.1M (exceeding guidance), raised full-year FY2026 guidance to $78-81M (+13% YoY at midpoint), and guided Q3 2026 to $21.3-21.7M, reflecting accelerating momentum from VS3000 chipset adoption by tier-one AV manufacturers including Crestron and Extron [1].</w:t>
      </w:r>
    </w:p>
    <w:p>
      <w:r>
        <w:rPr>
          <w:rFonts w:ascii="Calibri" w:hAnsi="Calibri"/>
          <w:b/>
          <w:color w:val="6E8450"/>
          <w:sz w:val="18"/>
        </w:rPr>
        <w:t>233 Employees · https://www.valens.com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Valens has now posted eight consecutive quarters of revenue growth, with Q2 2026 revenue of $18.1M exceeding guidance and management raising FY2026 guidance to $78-81M from $75-77M (+13% YoY at midpoint) [1]. The company successfully pivoted its revenue mix so cross-industry applications (machine vision, ProAV, robotics) now exceed automotive, opening a real growth vector beyond the original HDBaseT/automotive base. AI Deployment (1/2): Valens partnered with RGo Robotics and Cherry Embedded Solutions to design optimized AI robotic systems, and showcased high-performance connectivity innovations for AI applications at Embedded World 2025 [2]. Cross-industry chipsets now enable machine vision and robotics AI systems, though no specific dollar figure isolates 'AI revenue' from the broader segment. Market Share (1/2): Valens holds four global A-PHY automotive design wins including a fourth win with a China-market OEM and three European OEM design-ins targeting SOP in 2026-2027, with commercial momentum from Crestron and Extron in ProAV [1][3]. However, it remains a small player relative to TI, Marvell, and Broadcom. Product Pipeline (2/2): Three European OEM design wins covering ~500,000 vehicles/year are expected to generate over $10M in annual revenue each for 5-7 years starting 2027, and Q3 2026 guidance of $21.3-21.7M signals a clear second-half revenue ramp [1][3]. R&amp;D Intensity (1/1): Heavy R&amp;D investment relative to revenue continues to drive net losses (-44.7% profit margin), consistent with a fabless chipmaker prioritizing next-generation connectivity standards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Valens' stated purpose — 'enabling high-performance connectivity for a smarter, safer world' — is clear and relevant to automotive safety and industrial automation but is not deeply distinctive versus semiconductor industry peers [2]. Community Impact (1/2): The company has published its fourth consecutive annual ESG report (2024 edition released January 2026), covering energy efficiency, GHG reduction, and e-waste recycling — consistent, credible reporting for a 233-person company but not a flagship community program [5]. Employee Retention (1/2): Glassdoor rating of 3.8/5 with 4.2 for work-life balance and 4.0 for culture suggests a solid working environment for a small Israeli tech company [3]. However, CEO transition (Salinger replacing Ben-Zvi in November 2025) and prior workforce reduction introduce organizational disruption. Some reviews note 'the company was a big promise, but the management didn't deliver.' Insider Buying (0/2): Recent Form 4 filings show a consistent pattern of officers and directors exercising options and immediately selling under Rule 10b5-1 plans with no offsetting open-market buying identified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(Forward P/E and PEG unavailable due to negative earnings, excluded from weighting). D/E of 8.0% is excellent, reflecting a near debt-free balance sheet with $92.6M cash against $8.2M debt [4][7]. ROE of -25.5% and profit margin of -44.7% both score zero against positive-earnings targets, reflecting persistent unprofitability since the 2021 SPAC listing. Revenue growth is a bright spot — the raised FY2026 guidance of $78-81M represents ~13% YoY growth at midpoint, and Q3 2026 guidance of $21.3-21.7M signals second-half acceleration [1]. The 5-year picture remains weak: revenue was $70.7M in FY2021 and $70.6M in FY2025, a ~0% 5yr CAGR reflecting the deep 2023-2024 cyclical trough [4][7]. Liquidity floor check: $1.81 x ~1.26M avg daily volume = ~$2.3M, clearing the $1M threshold but providing thin dollar volume for institutional participation.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Valens has sustained genuine R&amp;D investment through years of losses to build the MIPI A-PHY standard and has meaningfully diversified its revenue base into cross-industry AI-adjacent applications, showing real long-term commitment. But the generic mission language, a November 2025 CEO change (bringing in a cybersecurity/M&amp;A executive rather than a mission-aligned technologist), a prior workforce reduction, and no evidence of an infinite competitive mindset toward larger rivals suggest a company optimizing for survival and scale rather than one built for durable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Valens' purpose of 'connectivity for a smarter, safer world' is genuine but fairly standard semiconductor-industry framing rather than a distinctive cause that shapes strategic tradeoffs. The company's SPAC listing origin and recent CEO change — bringing in Yoram Salinger from cybersecurity firm Perception Point (which he led through Fortinet's acquisition) — suggest financial and turnaround priorities are ahead of cause-driven decision-making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with 4.2 for work-life balance and 4.0 for culture suggests an adequate trust environment for a small Israeli tech company [3]. However, the November 2025 CEO transition and prior 10% workforce reduction represent organizational disruption. Employee reviews noting 'management didn't deliver' suggest some erosion of trust despite the generally positive cultural metrics.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Valens positions MIPI A-PHY as 'the industry standard' in public communications without acknowledging the strengths of larger connectivity competitors like Texas Instruments, Marvell, or Broadcom. No evidence of management framing competition as motivation for self-improvement rather than a market-share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evolved from its original HDBaseT consumer-electronics roots into automotive A-PHY connectivity and now cross-industry/AI-adjacent applications, which today make up the majority of revenue — a real shift in business mix [1][2]. However, the underlying connectivity chip technology and fabless go-to-market model remain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Valens sustained heavy R&amp;D spending through multiple years of double-digit-million-dollar losses (-$19M to -$37M annually from FY2021-2025) rather than cutting technology investment to reach near-term breakeven, reflecting genuine long-term conviction in the A-PHY standard and automotive design-win pipeline [4][7]. The subsequent CEO change and workforce reduction moderate the pattern but do not erase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Valens Semiconductor is accelerating: Q2 2026 revenue of $18.1M exceeded guidance, management raised FY2026 guidance to $78-81M (+13% YoY at midpoint), and Q3 2026 guidance of $21.3-21.7M signals a clear second-half revenue ramp driven by strong VS3000 chipset adoption from tier-one AV manufacturers Crestron and Extron [1]. Three named European OEM automotive design wins covering ~500,000 vehicles/year are each expected to generate $10M+ in annual revenue for 5-7 years starting 2027, providing multi-year visibility [3]. With a clean balance sheet ($92.6M cash, D/E of 8%, no meaningful debt) and 61.5% gross margins, the underlying product economics are sound if the company can grow revenue into its cost base. The cross-industry AI-adjacent pivot has materially diversified the revenue base beyond cyclical automotive schedules.</w:t>
      </w:r>
    </w:p>
    <w:p>
      <w:pPr>
        <w:spacing w:after="120"/>
      </w:pPr>
      <w:r>
        <w:rPr>
          <w:rFonts w:ascii="Calibri" w:hAnsi="Calibri"/>
          <w:b w:val="0"/>
          <w:color w:val="3A4A28"/>
          <w:sz w:val="20"/>
        </w:rPr>
        <w:t>The bear case remains substantial: Valens has never been profitable since its 2021 SPAC listing, with profit margin of -44.7% and ROE of -25.5%, and the 5-year revenue CAGR is essentially 0% once the deep 2023-2024 trough is netted against the recent recovery [4][7]. Even with raised guidance of $78-81M, the scale of annual losses (-$31.6M TTM) against $92.6M cash means the runway is limited without profitability improvement. The automotive design wins' meaningful revenue contribution is not expected until 2027, creating a multi-quarter gap investors must underwrite. New CEO Yoram Salinger (appointed November 2025 from cybersecurity firm Perception Point) has yet to prove himself in the semiconductor space. A sub-$2 stock price and thin daily dollar volume (~$2.3M) limit institutional participation, and the persistent pattern of insider option-exercise-and-sell transactions with no offsetting open-market buying offers no signal of insider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Three named European OEM automotive design wins (~500,000 vehicles/year, $10M+ annual revenue each for 5-7 years) ramping toward Start of Production in 2027, with a fourth China-market OEM design win extending the pipeline [1][3]</w:t>
      </w:r>
    </w:p>
    <w:p>
      <w:pPr>
        <w:spacing w:before="40" w:after="40"/>
        <w:ind w:left="283"/>
      </w:pPr>
      <w:r>
        <w:rPr>
          <w:rFonts w:ascii="Calibri" w:hAnsi="Calibri"/>
          <w:b/>
          <w:color w:val="4A6B25"/>
          <w:sz w:val="20"/>
        </w:rPr>
        <w:t xml:space="preserve">2. </w:t>
      </w:r>
      <w:r>
        <w:rPr>
          <w:rFonts w:ascii="Calibri" w:hAnsi="Calibri"/>
          <w:b w:val="0"/>
          <w:color w:val="3A4A28"/>
          <w:sz w:val="20"/>
        </w:rPr>
        <w:t>Raised FY2026 revenue guidance to $78-81M with Q3 guidance of $21.3-21.7M signaling accelerating second-half momentum from VS3000 chipset adoption by Crestron and Extron [1]</w:t>
      </w:r>
    </w:p>
    <w:p>
      <w:pPr>
        <w:spacing w:before="40" w:after="40"/>
        <w:ind w:left="283"/>
      </w:pPr>
      <w:r>
        <w:rPr>
          <w:rFonts w:ascii="Calibri" w:hAnsi="Calibri"/>
          <w:b/>
          <w:color w:val="4A6B25"/>
          <w:sz w:val="20"/>
        </w:rPr>
        <w:t xml:space="preserve">3. </w:t>
      </w:r>
      <w:r>
        <w:rPr>
          <w:rFonts w:ascii="Calibri" w:hAnsi="Calibri"/>
          <w:b w:val="0"/>
          <w:color w:val="3A4A28"/>
          <w:sz w:val="20"/>
        </w:rPr>
        <w:t>Cross-industry AI-adjacent applications (machine vision, robotics, ProAV) now exceeding automotive as a share of revenue, diversifying growth beyond cyclical OEM production schedules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(-44.7% profit margin, -$31.6M TTM net loss) with $92.6M cash runway — without a path to breakeven, the company faces potential dilutive capital raises if automotive revenue ramp delays extend beyond 2027 [4][7]</w:t>
      </w:r>
    </w:p>
    <w:p>
      <w:pPr>
        <w:spacing w:before="40" w:after="40"/>
        <w:ind w:left="283"/>
      </w:pPr>
      <w:r>
        <w:rPr>
          <w:rFonts w:ascii="Calibri" w:hAnsi="Calibri"/>
          <w:b/>
          <w:color w:val="4A6B25"/>
          <w:sz w:val="20"/>
        </w:rPr>
        <w:t xml:space="preserve">2. </w:t>
      </w:r>
      <w:r>
        <w:rPr>
          <w:rFonts w:ascii="Calibri" w:hAnsi="Calibri"/>
          <w:b w:val="0"/>
          <w:color w:val="3A4A28"/>
          <w:sz w:val="20"/>
        </w:rPr>
        <w:t>5-year revenue CAGR of approximately 0% ($70.7M in FY2021 to $70.6M in FY2025) shows the business has not grown on a net basis since listing despite continuous R&amp;D investment, raising questions about durable demand versus cyclical recovery [4]</w:t>
      </w:r>
    </w:p>
    <w:p>
      <w:pPr>
        <w:spacing w:before="40" w:after="40"/>
        <w:ind w:left="283"/>
      </w:pPr>
      <w:r>
        <w:rPr>
          <w:rFonts w:ascii="Calibri" w:hAnsi="Calibri"/>
          <w:b/>
          <w:color w:val="4A6B25"/>
          <w:sz w:val="20"/>
        </w:rPr>
        <w:t xml:space="preserve">3. </w:t>
      </w:r>
      <w:r>
        <w:rPr>
          <w:rFonts w:ascii="Calibri" w:hAnsi="Calibri"/>
          <w:b w:val="0"/>
          <w:color w:val="3A4A28"/>
          <w:sz w:val="20"/>
        </w:rPr>
        <w:t>Sub-$2 stock price and thin ~$2.3M daily dollar volume limit institutional participation, create execution risk for larger investors, and a pattern of insider option-exercise-and-sell activity with no offsetting purchases signals limited insider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Valens operates in the physical hardware connectivity layer — chipsets moving high-bandwidth sensor, camera, and display data — which AI software cannot substitute; AI-driven machine vision and robotics systems require exactly the high-bandwidth connectivity Valens provides [2][3]. The company's risk is competitive rather than AI-driven: larger, better-capitalized semiconductor players (TI, Marvell, Broadcom) could contest the A-PHY standard, but that is a scale risk, not an AI substitution risk. AI tightening of silicon supply chains was flagged by management as a planning consideration but not a risk to 2026 targets. AI Opportunity (1/1): Cross-industry applications built around AI-enabled machine vision, robotics, and ProAV now make up the majority of Valens' revenue. The partnership with RGo Robotics for AI robotic systems and connectivity showcases at Embedded World explicitly position Valens as AI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Valens Semiconductor Q2 2026 Earnings Release — Revenue $18.1M (beat), FY2026 Guidance Raised to $78-81M, Q3 Guidance $21.3-21.7M, PRNewswire/Morningstar, August 2026</w:t>
      </w:r>
    </w:p>
    <w:p>
      <w:pPr>
        <w:spacing w:before="20" w:after="20"/>
        <w:ind w:left="170"/>
      </w:pPr>
      <w:r>
        <w:rPr>
          <w:rFonts w:ascii="Calibri" w:hAnsi="Calibri"/>
          <w:b/>
          <w:color w:val="4A6B25"/>
          <w:sz w:val="15"/>
        </w:rPr>
        <w:t xml:space="preserve">2. </w:t>
      </w:r>
      <w:r>
        <w:rPr>
          <w:rFonts w:ascii="Calibri" w:hAnsi="Calibri"/>
          <w:b w:val="0"/>
          <w:color w:val="3A4A28"/>
          <w:sz w:val="17"/>
        </w:rPr>
        <w:t>Valens Semiconductor AI Connectivity — RGo Robotics Partnership, Embedded World 2025 Showcase, Company Newsroom, 2025-2026</w:t>
      </w:r>
    </w:p>
    <w:p>
      <w:pPr>
        <w:spacing w:before="20" w:after="20"/>
        <w:ind w:left="170"/>
      </w:pPr>
      <w:r>
        <w:rPr>
          <w:rFonts w:ascii="Calibri" w:hAnsi="Calibri"/>
          <w:b/>
          <w:color w:val="4A6B25"/>
          <w:sz w:val="15"/>
        </w:rPr>
        <w:t xml:space="preserve">3. </w:t>
      </w:r>
      <w:r>
        <w:rPr>
          <w:rFonts w:ascii="Calibri" w:hAnsi="Calibri"/>
          <w:b w:val="0"/>
          <w:color w:val="3A4A28"/>
          <w:sz w:val="17"/>
        </w:rPr>
        <w:t>Valens Semiconductor CEO Transition — Yoram Salinger Appointment (from Perception Point/Fortinet), Glassdoor 3.8/5, PRNewswire, November 2025</w:t>
      </w:r>
    </w:p>
    <w:p>
      <w:pPr>
        <w:spacing w:before="20" w:after="20"/>
        <w:ind w:left="170"/>
      </w:pPr>
      <w:r>
        <w:rPr>
          <w:rFonts w:ascii="Calibri" w:hAnsi="Calibri"/>
          <w:b/>
          <w:color w:val="4A6B25"/>
          <w:sz w:val="15"/>
        </w:rPr>
        <w:t xml:space="preserve">4. </w:t>
      </w:r>
      <w:r>
        <w:rPr>
          <w:rFonts w:ascii="Calibri" w:hAnsi="Calibri"/>
          <w:b w:val="0"/>
          <w:color w:val="3A4A28"/>
          <w:sz w:val="17"/>
        </w:rPr>
        <w:t>Valens Semiconductor 10-Q/6-K Financial Data — TTM Revenue $70.6M, Net Loss $31.6M, Gross Margin 61.5%, Cash $92.6M, SEC Filings 2026</w:t>
      </w:r>
    </w:p>
    <w:p>
      <w:pPr>
        <w:spacing w:before="20" w:after="20"/>
        <w:ind w:left="170"/>
      </w:pPr>
      <w:r>
        <w:rPr>
          <w:rFonts w:ascii="Calibri" w:hAnsi="Calibri"/>
          <w:b/>
          <w:color w:val="4A6B25"/>
          <w:sz w:val="15"/>
        </w:rPr>
        <w:t xml:space="preserve">5. </w:t>
      </w:r>
      <w:r>
        <w:rPr>
          <w:rFonts w:ascii="Calibri" w:hAnsi="Calibri"/>
          <w:b w:val="0"/>
          <w:color w:val="3A4A28"/>
          <w:sz w:val="17"/>
        </w:rPr>
        <w:t>Valens Semiconductor 2024 ESG Report — Environmental, Social, Governance Update, Released January 2026</w:t>
      </w:r>
    </w:p>
    <w:p>
      <w:pPr>
        <w:spacing w:before="20" w:after="20"/>
        <w:ind w:left="170"/>
      </w:pPr>
      <w:r>
        <w:rPr>
          <w:rFonts w:ascii="Calibri" w:hAnsi="Calibri"/>
          <w:b/>
          <w:color w:val="4A6B25"/>
          <w:sz w:val="15"/>
        </w:rPr>
        <w:t xml:space="preserve">6. </w:t>
      </w:r>
      <w:r>
        <w:rPr>
          <w:rFonts w:ascii="Calibri" w:hAnsi="Calibri"/>
          <w:b w:val="0"/>
          <w:color w:val="3A4A28"/>
          <w:sz w:val="17"/>
        </w:rPr>
        <w:t>Valens Semiconductor Form 4 Insider Trading Activity — Option-Exercise-and-Sell Pattern, SEC Filings,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 Yahoo Finance — VLN Key Statistics: D/E 8%, ROE -25.5%, Profit Margin -44.7%, Stock Price $1.81,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