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VNET</w:t>
      </w:r>
      <w:r>
        <w:rPr>
          <w:rFonts w:ascii="Calibri" w:hAnsi="Calibri"/>
          <w:b/>
          <w:color w:val="1A2010"/>
          <w:sz w:val="40"/>
        </w:rPr>
        <w:t xml:space="preserve">  VNET Group, Inc.</w:t>
      </w:r>
    </w:p>
    <w:p>
      <w:pPr>
        <w:spacing w:after="120"/>
      </w:pPr>
      <w:r>
        <w:rPr>
          <w:rFonts w:ascii="Calibri" w:hAnsi="Calibri"/>
          <w:b/>
          <w:color w:val="6E8450"/>
          <w:sz w:val="18"/>
        </w:rPr>
        <w:t>GROWTH SLEEVE · 2026-10-17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NMS · China</w:t>
      </w:r>
    </w:p>
    <w:p>
      <w:pPr>
        <w:spacing w:after="80"/>
      </w:pPr>
      <w:r>
        <w:rPr>
          <w:rFonts w:ascii="Calibri" w:hAnsi="Calibri"/>
          <w:b w:val="0"/>
          <w:color w:val="3A4A28"/>
          <w:sz w:val="20"/>
        </w:rPr>
        <w:t>VNET Group provides carrier- and cloud-neutral data center hosting and related services in China, operating wholesale and retail colocation, cloud, and VPN services. Formerly known as 21Vianet Group, the company is pivoting aggressively toward AI-focused wholesale data center infrastructure, securing a ~$1B strategic investment from CATL for approximately 38% ownership. Q2 2026 revenue grew 14.2% YoY to RMB 2.78B, with wholesale IDC revenue surging 29.3% to RMB 1.1B, and the company guides for 15.6-18.6% full-year 2026 revenue growth to RMB 11.5-11.8B [1][2].</w:t>
      </w:r>
    </w:p>
    <w:p>
      <w:r>
        <w:rPr>
          <w:rFonts w:ascii="Calibri" w:hAnsi="Calibri"/>
          <w:b/>
          <w:color w:val="6E8450"/>
          <w:sz w:val="18"/>
        </w:rPr>
        <w:t>2,784 Employees · https://www.vnet.com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VNET executed a meaningful strategic pivot from traditional retail colocation to wholesale AI-focused data centers, rebranding from 21Vianet in 2021. Wholesale IDC revenue surpassed retail for the first time in Q1 2026, growing 58.1% YoY, validating the multi-year infrastructure transformation [2]. CATL's ~$1B investment for 38% ownership further validates the AI data center strategy [3]. AI Deployment (1/2): VNET builds AI-ready data center infrastructure supporting GPU clusters and high-density cooling for AI workloads, securing 519 MW of new orders YTD 2026 including 517 MW of wholesale AI capacity — but the company provides infrastructure rather than deploying AI products to end customers [1][2]. Market Share (1/2): VNET is one of China's leading carrier- and cloud-neutral data center operators, serving major cloud providers, telecom carriers, and enterprises. The company added 404 MW in 2025 and targets 450-500 MW in 2026, but faces intense competition from state-owned carriers building their own capacity [1]. Product Pipeline (1/2): Specific growth targets of 450-500 MW for 2026 with visibility into contracted demand, plus the capital recycling model via two REIT listings in Shanghai raising RMB 6.36B in March 2026 [3]. R&amp;D Intensity (0/1): No evidence of above-average R&amp;D spend; data center operators typically invest in infrastructure capex rather than R&amp;D.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VNET positions itself as enabling digital infrastructure and cloud connectivity in China, but the mission is generic and interchangeable with any data center operator — no distinctive purpose beyond providing infrastructure services is articulated on the company's website or public materials. Community Impact (1/2): Published its sixth annual ESG report in April 2026, reporting renewable energy usage at 36% of total resources (up from 18% in 2024), scored 73 in the 2025 S&amp;P Global CSA, and received a 'B' on the CDP Climate Change Questionnaire [4]. However, these are industry-standard disclosures without distinctive community programs. Employee Retention (0/2): No specific voluntary turnover data or employee tenure metrics available. The company has 2,784 employees but provides no evidence of above-average retention. Insider Buying (0/2): No evidence of meaningful insider buying by executives. Founder Josh Sheng Chen maintains operational control through the CATL restructuring, but this reflects ownership structure, not voluntary capital commitment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VNET's financial profile is characterized by extreme leverage and current unprofitability offset by attractive valuation relative to growth. D/E of 309.2% exceeds the 300% floor (score 0.0), reflecting RMB 31.0B in total debt against a ~$1.1B market cap — a capital-intensive data center build-out funded largely by debt [1]. ROE of -4.7% is below the 0% floor (score 0.0, 2x weight), as the company remains unprofitable on a trailing basis. Revenue growth of 14.2% YoY exceeds the 10% target (score 1.0), driven by wholesale IDC growth of 29.3% [1]. Forward P/E of 28.0 scores 0.80 between the 20 target and 60 floor. Profit margin of -6.2% is below floor (score 0.0). The standout metric is Forward PEG of 0.45 (score 1.0, 2x weight), reflecting the transition from losses to expected profitability with forward EPS of $0.14 [1]. Daily dollar volume of $18.6M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VNET operates with a largely finite mindset, focused on near-term capacity expansion and capital recycling rather than a durable just cause. The company's aggressive pivot to wholesale AI data centers demonstrates tactical flexibility but lacks the principled, purpose-driven strategic consistency that characterizes infinite players. Leadership instability — interim CEO since April 2024 after Jeff Dong's resignation — undermines organizational trust and long-term vision.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VNET's purpose amounts to 'build data center infrastructure in China' — a commercial objective with no articulated vision of a better future beyond shareholder returns. The company's 2021 rebrand from 21Vianet to VNET Group and the recent AI pivot reflect market-following rather than cause-driven strategy. No evidence that leadership references a distinctive purpose in strategic decisions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Leadership instability is a significant concern. CEO Jeff Dong resigned in April 2024, leaving founder Josh Sheng Chen as interim CEO with no permanent replacement announced as of the latest search results [3]. The July 2023 leadership reshuffle and the CATL investment-driven governance changes create organizational uncertainty. No evidence of employee empowerment, cultural practices, or psychological safety measures.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VNET's competitive narrative focuses on capacity expansion and market share in the Chinese data center market against state-owned carriers like China Telecom and China Mobile, framed as a race rather than a learning opportunity. The carrier-neutral positioning is a strategic differentiation, not an acknowledgment of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VNET has evolved its business model meaningfully, shifting from traditional retail colocation to wholesale AI-focused data centers. Wholesale revenue surpassed retail for the first time in Q1 2026, and the REIT capital recycling model (two Shanghai listings raising RMB 6.36B) represents a creative approach to funding growth [2][3]. However, this is an incremental adaptation driven by market demand rather than a transformative reinvention driven by a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accept CATL's ~$1B strategic investment, diluting the founder's control, in order to accelerate AI data center build-out demonstrates willingness to sacrifice short-term ownership for long-term capability [3]. The REIT listing strategy to recycle capital from mature assets shows creative long-term thinking. However, the aggressive debt-funded expansion (D/E 309%) also reflects financial risk-taking that may not be in service of a durable cause.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VNET at $3.92 with a $1.1B market cap is a leveraged bet on China's AI data center buildout. The company is executing a strategic pivot from retail colocation to wholesale AI infrastructure, with wholesale IDC revenue growing 29.3% YoY to RMB 1.1B in Q2 2026 and new orders of 519 MW YTD almost entirely AI-driven [1][2]. CATL's ~$1B investment validates the strategy, and the capital recycling model via REIT listings provides a sustainable funding mechanism for the 450-500 MW of annual capacity expansion [3]. Forward PEG of 0.45 prices in strong growth at attractive valuation, and management guides for 15.6-18.6% full-year revenue growth.</w:t>
      </w:r>
    </w:p>
    <w:p>
      <w:pPr>
        <w:spacing w:after="120"/>
      </w:pPr>
      <w:r>
        <w:rPr>
          <w:rFonts w:ascii="Calibri" w:hAnsi="Calibri"/>
          <w:b w:val="0"/>
          <w:color w:val="3A4A28"/>
          <w:sz w:val="20"/>
        </w:rPr>
        <w:t>The bear case is substantial. D/E of 309% represents extreme leverage with RMB 31.0B in debt against a $1.1B market cap, creating significant refinancing risk in a rising rate environment [1]. Profit margin of -6.2% and negative ROE mean the company is not yet generating sustainable earnings despite scale. Q2 2026 revenue growth decelerated to 14.2% from 19.8% in Q1, falling below the low end of full-year guidance [1][2]. China-specific risks include regulatory uncertainty around VIE structures, potential geopolitical restrictions on foreign capital access, and competition from state-owned carriers building their own AI data centers. Leadership instability — interim CEO since April 2024 — raises governance concerns for a company undergoing a critical strategic transformation [3]. The stock trades at 87% below its 50-day SMA of $6.27, signaling significant near-term market skepticism.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demand acceleration — 519 MW of new orders YTD 2026 with management targeting 450-500 MW of capacity expansion, driven by Chinese hyperscaler and enterprise AI compute buildout [1][2]</w:t>
      </w:r>
    </w:p>
    <w:p>
      <w:pPr>
        <w:spacing w:before="40" w:after="40"/>
        <w:ind w:left="283"/>
      </w:pPr>
      <w:r>
        <w:rPr>
          <w:rFonts w:ascii="Calibri" w:hAnsi="Calibri"/>
          <w:b/>
          <w:color w:val="4A6B25"/>
          <w:sz w:val="20"/>
        </w:rPr>
        <w:t xml:space="preserve">2. </w:t>
      </w:r>
      <w:r>
        <w:rPr>
          <w:rFonts w:ascii="Calibri" w:hAnsi="Calibri"/>
          <w:b w:val="0"/>
          <w:color w:val="3A4A28"/>
          <w:sz w:val="20"/>
        </w:rPr>
        <w:t>CATL strategic investment (~$1B for 38%) provides capital, battery/power technology synergies, and validation from one of the world's largest industrial companies [3]</w:t>
      </w:r>
    </w:p>
    <w:p>
      <w:pPr>
        <w:spacing w:before="40" w:after="40"/>
        <w:ind w:left="283"/>
      </w:pPr>
      <w:r>
        <w:rPr>
          <w:rFonts w:ascii="Calibri" w:hAnsi="Calibri"/>
          <w:b/>
          <w:color w:val="4A6B25"/>
          <w:sz w:val="20"/>
        </w:rPr>
        <w:t xml:space="preserve">3. </w:t>
      </w:r>
      <w:r>
        <w:rPr>
          <w:rFonts w:ascii="Calibri" w:hAnsi="Calibri"/>
          <w:b w:val="0"/>
          <w:color w:val="3A4A28"/>
          <w:sz w:val="20"/>
        </w:rPr>
        <w:t>REIT capital recycling model — two Shanghai REIT listings raised RMB 6.36B in March 2026, enabling asset-light growth by monetizing mature data centers to fund new AI capacity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Extreme leverage at 309% D/E with RMB 31.0B total debt creates significant refinancing risk and limits financial flexibility during the capital-intensive AI buildout phase [1]</w:t>
      </w:r>
    </w:p>
    <w:p>
      <w:pPr>
        <w:spacing w:before="40" w:after="40"/>
        <w:ind w:left="283"/>
      </w:pPr>
      <w:r>
        <w:rPr>
          <w:rFonts w:ascii="Calibri" w:hAnsi="Calibri"/>
          <w:b/>
          <w:color w:val="4A6B25"/>
          <w:sz w:val="20"/>
        </w:rPr>
        <w:t xml:space="preserve">2. </w:t>
      </w:r>
      <w:r>
        <w:rPr>
          <w:rFonts w:ascii="Calibri" w:hAnsi="Calibri"/>
          <w:b w:val="0"/>
          <w:color w:val="3A4A28"/>
          <w:sz w:val="20"/>
        </w:rPr>
        <w:t>China regulatory and geopolitical risk — VIE structure, potential restrictions on foreign-listed Chinese tech, and competition from state-owned carriers building their own AI data center capacity</w:t>
      </w:r>
    </w:p>
    <w:p>
      <w:pPr>
        <w:spacing w:before="40" w:after="40"/>
        <w:ind w:left="283"/>
      </w:pPr>
      <w:r>
        <w:rPr>
          <w:rFonts w:ascii="Calibri" w:hAnsi="Calibri"/>
          <w:b/>
          <w:color w:val="4A6B25"/>
          <w:sz w:val="20"/>
        </w:rPr>
        <w:t xml:space="preserve">3. </w:t>
      </w:r>
      <w:r>
        <w:rPr>
          <w:rFonts w:ascii="Calibri" w:hAnsi="Calibri"/>
          <w:b w:val="0"/>
          <w:color w:val="3A4A28"/>
          <w:sz w:val="20"/>
        </w:rPr>
        <w:t>Leadership vacuum with interim CEO since April 2024 and no permanent replacement announced, during the most critical strategic transformation in the company's history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VNET's core business — physical data center infrastructure in China — is structurally immune to AI substitution and directly benefits from AI-driven compute demand. The company secured 519 MW of new orders YTD 2026, with 517 MW specifically for wholesale AI capacity, demonstrating that AI is the primary demand driver rather than a threat [1][2]. Data centers require physical real estate, power infrastructure, cooling systems, and network connectivity that AI cannot replicate or replace. VNET's carrier- and cloud-neutral positioning gives it diversified tenant exposure. Scores 8 rather than 9 because the company faces competition from Chinese state-owned carriers building their own AI data center capacity, and regulatory risk around foreign-listed Chinese tech companies could constrain growth. AI Opportunity (1/1): VNET generates substantial and growing revenue directly from AI infrastructure — wholesale IDC revenue reached RMB 1.1B in Q2 2026 (+29.3% YoY), driven primarily by AI workload demand, and the company's 450-500 MW 2026 expansion target is almost entirely AI-driven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VNET Q2 2026 Earnings Release — Revenue RMB 2.78B (+14.2% YoY), Wholesale IDC Revenue RMB 1.1B (+29.3%), Adjusted Cash Gross Margin 41.8%, Barchart/FinViz, August 2026</w:t>
      </w:r>
    </w:p>
    <w:p>
      <w:pPr>
        <w:spacing w:before="20" w:after="20"/>
        <w:ind w:left="170"/>
      </w:pPr>
      <w:r>
        <w:rPr>
          <w:rFonts w:ascii="Calibri" w:hAnsi="Calibri"/>
          <w:b/>
          <w:color w:val="4A6B25"/>
          <w:sz w:val="15"/>
        </w:rPr>
        <w:t xml:space="preserve">2. </w:t>
      </w:r>
      <w:r>
        <w:rPr>
          <w:rFonts w:ascii="Calibri" w:hAnsi="Calibri"/>
          <w:b w:val="0"/>
          <w:color w:val="3A4A28"/>
          <w:sz w:val="17"/>
        </w:rPr>
        <w:t>VNET Q1 2026 Earnings — Revenue RMB 2.69B (+19.8% YoY), Wholesale Revenue Surpassed Retail for First Time (+58.1%), Adjusted EBITDA +30.6%, Nasdaq/Barchart, May 2026</w:t>
      </w:r>
    </w:p>
    <w:p>
      <w:pPr>
        <w:spacing w:before="20" w:after="20"/>
        <w:ind w:left="170"/>
      </w:pPr>
      <w:r>
        <w:rPr>
          <w:rFonts w:ascii="Calibri" w:hAnsi="Calibri"/>
          <w:b/>
          <w:color w:val="4A6B25"/>
          <w:sz w:val="15"/>
        </w:rPr>
        <w:t xml:space="preserve">3. </w:t>
      </w:r>
      <w:r>
        <w:rPr>
          <w:rFonts w:ascii="Calibri" w:hAnsi="Calibri"/>
          <w:b w:val="0"/>
          <w:color w:val="3A4A28"/>
          <w:sz w:val="17"/>
        </w:rPr>
        <w:t>VNET AI Strategy and CATL Investment — CATL ~$1B for 38% Stake, Founder Maintains Control, REIT Listings Raising RMB 6.36B, Simply Wall St/Bamboo Works, 2025-2026</w:t>
      </w:r>
    </w:p>
    <w:p>
      <w:pPr>
        <w:spacing w:before="20" w:after="20"/>
        <w:ind w:left="170"/>
      </w:pPr>
      <w:r>
        <w:rPr>
          <w:rFonts w:ascii="Calibri" w:hAnsi="Calibri"/>
          <w:b/>
          <w:color w:val="4A6B25"/>
          <w:sz w:val="15"/>
        </w:rPr>
        <w:t xml:space="preserve">4. </w:t>
      </w:r>
      <w:r>
        <w:rPr>
          <w:rFonts w:ascii="Calibri" w:hAnsi="Calibri"/>
          <w:b w:val="0"/>
          <w:color w:val="3A4A28"/>
          <w:sz w:val="17"/>
        </w:rPr>
        <w:t>VNET 2025 ESG Report — 36% Renewable Energy, S&amp;P CSA Score 73, CDP Climate 'B' Rating, Sustainalytics ESG Risk 18.6, Barchart/TechNode, April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