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VNO</w:t>
      </w:r>
      <w:r>
        <w:rPr>
          <w:rFonts w:ascii="Calibri" w:hAnsi="Calibri"/>
          <w:b/>
          <w:color w:val="1A2010"/>
          <w:sz w:val="40"/>
        </w:rPr>
        <w:t xml:space="preserve">  Vornado Realty Trust</w:t>
      </w:r>
    </w:p>
    <w:p>
      <w:pPr>
        <w:spacing w:after="120"/>
      </w:pPr>
      <w:r>
        <w:rPr>
          <w:rFonts w:ascii="Calibri" w:hAnsi="Calibri"/>
          <w:b/>
          <w:color w:val="6E8450"/>
          <w:sz w:val="18"/>
        </w:rPr>
        <w:t>GROWTH SLEEVE · 2026-09-12 · Inspire: 43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Office · NYSE · United States</w:t>
      </w:r>
    </w:p>
    <w:p>
      <w:pPr>
        <w:spacing w:after="80"/>
      </w:pPr>
      <w:r>
        <w:rPr>
          <w:rFonts w:ascii="Calibri" w:hAnsi="Calibri"/>
          <w:b w:val="0"/>
          <w:color w:val="3A4A28"/>
          <w:sz w:val="20"/>
        </w:rPr>
        <w:t>Vornado Realty Trust is a fully integrated REIT with a premier New York City office, retail, and multifamily portfolio, anchored by the $2.5 billion PENN District redevelopment on Manhattan's West Side. The company also owns flagship properties in Chicago (THE MART) and San Francisco (555 California Street). Steven Roth has served as Chairman and CEO since 1980. Q2 2026 revenue was $462M (+4.71% YoY), and TTM revenue reached $1.829B (+1.37% YoY) [1]. Full-year 2026 Comparable FFO is expected to be slightly higher than 2025 ($2.32/share), with significant earnings growth projected for 2027 driven by PENN 1 and PENN 2 lease-ups.</w:t>
      </w:r>
    </w:p>
    <w:p>
      <w:r>
        <w:rPr>
          <w:rFonts w:ascii="Calibri" w:hAnsi="Calibri"/>
          <w:b/>
          <w:color w:val="6E8450"/>
          <w:sz w:val="18"/>
        </w:rPr>
        <w:t>3,145 Employees · https://www.vno.com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Vornado's PENN District redevelopment continues to progress toward the 2027 earnings inflection, and management acquired a 49% stake in a 1.2M sq ft, 99%-occupied building (Park Avenue Plaza) at $950/sf — 65-70% below replacement cost with an 8% GAAP yield, projected to add ~$0.10/share [1]. Q2 2026 revenue of $462M (+4.71% YoY) showed improvement from the Q1 decline. This is meaningful capital allocation skill but not a transformation of the core office-REIT business model. AI Deployment (0/2): No evidence of AI-powered products or quantified AI-driven operational savings; leasing and property management remain conventional. Market Share (1/2): Vornado is a meaningful, premium player in NYC office space competing with SL Green and Brookfield, but not the outright category leader [2]. Product Pipeline (2/2): Management cited $200M+ of currently unrecognized PENN District rent expected to convert into earnings by 2027, Manhattan mark-to-market of +11.7% GAAP/+9.7% cash on new leases, and the Park Avenue Plaza acquisition's specific $0.10/share run-rate contribution [1]. R&amp;D Intensity (1/1): 95% of the office portfolio is LEED certified with over 23M sq ft at LEED Gold or Platinum, 100% renewable energy credits for directly managed electricity, 28% energy consumption reduction since 2009, and top-tier GRESB score — exceptional sustainability investment for a REIT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Vornado's identity centers on owning and developing 'premier' real estate assets in gateway cities, which is clear but describes quality positioning rather than a deeper purpose or vision of a better future [2]. The executive team is rated 'A' on Comparably with employees ranking it in the top 10% of similar-size companies, suggesting leadership quality resonates internally. Community Impact (1/2): Vornado's Vision 2030 sustainability roadmap, board-level ESG steering committee, submetering of ~95% of tenant spaces for energy transparency, and EPA ENERGY STAR Partner of the Year with Sustained Excellence represent genuine investment beyond the minimum [3]. Employee Retention (0/2): With 3,145 employees and limited public tenure or turnover data, no specific retention claim can be supported. Insider Buying (2/2): Director Daniel Tisch made repeated, substantial open-market purchases in Q1 2026 — 25,000 shares at $27.85, 155,000 shares at $26.30-$27.70, and 30,000 shares at $25.55 — lifting his direct stake to 215,000 shares (over $5.6M invested), with no offsetting significant insider selling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Growth-sleeve stock (dividend yield ~1.9%, below the 2% threshold; PEG unavailable and excluded). D/E of 140% is elevated versus the 70% target but within normal REIT leverage ranges [6]. ROE of 14.44% is near the 15% target. Revenue is showing improvement — Q2 2026 was +4.71% YoY and TTM revenue of $1.829B is +1.37% YoY, versus -3.9% at the prior screening [1]. Forward P/E of 236.72 scores zero mechanically — GAAP EPS for REITs is a poor earnings proxy since it excludes real estate depreciation add-backs captured in FFO (consensus FFO of $2.32/share in 2026 rising to $2.69 in 2027, +14.5% implied growth) [5]. The FY2025 profit margin of 51.77% is inflated by $838.5M in one-time gains on property disposals rather than core operating profitability [6]. Liquidity floor clears: $38 x ~1.18M avg daily volume = ~$44.8M.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Vornado under Steven Roth's 46-year leadership shows real infinite-game instincts — committing $2.5B to PENN District during peak post-COVID office skepticism, and buying premium assets at 65-70% below replacement cost while peers retrench. But the implicit cause is quality-positioning rather than a formally articulated Just Cause, and the prior dividend cuts (2020 and 2023) reflect finite-game balance-sheet pressure even as the payment streak itself continued. The upcoming 2027 earnings inflection from PENN District and Park Avenue Plaza will test whether the long-term bets pay off.</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Vornado's implicit cause — creating premier urban environments in America's greatest cities — has been pursued consistently under Roth's leadership since 1980, and the PENN District 'city within a city' vision reflects genuine placemaking ambition [1][2]. However, this is not formally articulated as a Just Cause and reads more as a quality-focused business strategy than a resilient, service-oriented vision of a better future.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Steven Roth has led Vornado for 46 years with a stable senior team — President/CFO Michael Franco consolidates significant authority, and the executive team is rated 'A' on Comparably (top 10% of similar-size companies) [2]. However, with only 3,145 employees and limited public culture data beyond leadership stability, evidence of exceptional organizational trust is thin.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Vornado's competitive language emphasizes being 'premier' and 'preeminent' rather than acknowledging where rivals like SL Green or Brookfield excel. No evidence of management framing competition as motivation for self-improvement rather than a quality-positioning battle.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Vornado has narrowed its focus over decades — exiting non-core markets and concentrating capital in premium NYC, Chicago, and San Francisco assets — and is transforming the PENN District from commodity office space into a mixed-use urban campus [1]. This is meaningful strategic sharpening, but the company is still fundamentally doing the same thing (owning and leasing real estate), not reinventing its business model.</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The $2.5B PENN District redevelopment was undertaken during maximum post-COVID skepticism about NYC office demand, and management acquired a 99%-occupied office building at $950/sf (65-70% below replacement cost, 8% GAAP yield) while much of the market remained cautious on office real estate [1]. These are two distinct examples of leadership deploying significant capital against prevailing market sentiment in service of long-term value creation, consistent with Sinek's pattern of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Vornado's bull case rests on the 2027 earnings inflection — $200M+ of currently unrecognized PENN District rent converting into FFO, Manhattan leasing showing double-digit mark-to-market rent growth (+11.7% GAAP), and the Park Avenue Plaza acquisition at 65-70% below replacement cost projected to add ~$0.10/share [1]. Q2 2026 revenue of $462M (+4.71% YoY) showed improvement from Q1's slight decline, and consensus FFO is expected to grow from $2.32/share (2026) to $2.69/share (2027, +14.5%) as new rents come online and interest expense declines [5]. Director Daniel Tisch's $5.6M+ in sustained open-market buying during Q1 2026 (at $25-28/share) reflects informed conviction from someone close to the assets, and the executive team is rated in the top 10% of similar-size companies on Comparably [4].</w:t>
      </w:r>
    </w:p>
    <w:p>
      <w:pPr>
        <w:spacing w:after="120"/>
      </w:pPr>
      <w:r>
        <w:rPr>
          <w:rFonts w:ascii="Calibri" w:hAnsi="Calibri"/>
          <w:b w:val="0"/>
          <w:color w:val="3A4A28"/>
          <w:sz w:val="20"/>
        </w:rPr>
        <w:t>The bear case centers on financial engineering scars and near-term earnings softness: Q1 2026 comparable FFO fell 17.5% YoY to $0.52/share on $30.3M higher operating expenses and interest costs, and the stock trades at 236.72x GAAP P/E reflecting how little the earnings line captures true REIT economics [5][6]. D/E of 140% remains double the IOWN target, and the dividend was cut twice (2020 and 2023) from levels several multiples above today's ~$0.74/share, leaving the 5-year dividend growth CAGR deeply negative at -20.8%. Structural office-demand uncertainty from hybrid work persists — even in Vornado's premium-transit-adjacent niche, the multi-year question is whether sufficient demand materializes to fill the PENN District space and justify the $2.5B investment. Revenue growth of 2.6% p.a. forecast for the next three years matches the office REIT industry average, offering no alpha from revenue expansion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PENN District lease-up progressing toward the 2027 earnings inflection, with $200M+ of currently unrecognized rent expected to convert into FFO and drive consensus growth from $2.32/share (2026) to $2.69/share (2027, +14.5%) [1][5]</w:t>
      </w:r>
    </w:p>
    <w:p>
      <w:pPr>
        <w:spacing w:before="40" w:after="40"/>
        <w:ind w:left="283"/>
      </w:pPr>
      <w:r>
        <w:rPr>
          <w:rFonts w:ascii="Calibri" w:hAnsi="Calibri"/>
          <w:b/>
          <w:color w:val="4A6B25"/>
          <w:sz w:val="20"/>
        </w:rPr>
        <w:t xml:space="preserve">2. </w:t>
      </w:r>
      <w:r>
        <w:rPr>
          <w:rFonts w:ascii="Calibri" w:hAnsi="Calibri"/>
          <w:b w:val="0"/>
          <w:color w:val="3A4A28"/>
          <w:sz w:val="20"/>
        </w:rPr>
        <w:t>Park Avenue Plaza acquisition — 49% stake in a 99%-occupied, 1.2M sq ft building at $950/sf (65-70% below replacement cost, 8% GAAP yield) adding ~$0.10/share on a full run-rate basis [1]</w:t>
      </w:r>
    </w:p>
    <w:p>
      <w:pPr>
        <w:spacing w:before="40" w:after="40"/>
        <w:ind w:left="283"/>
      </w:pPr>
      <w:r>
        <w:rPr>
          <w:rFonts w:ascii="Calibri" w:hAnsi="Calibri"/>
          <w:b/>
          <w:color w:val="4A6B25"/>
          <w:sz w:val="20"/>
        </w:rPr>
        <w:t xml:space="preserve">3. </w:t>
      </w:r>
      <w:r>
        <w:rPr>
          <w:rFonts w:ascii="Calibri" w:hAnsi="Calibri"/>
          <w:b w:val="0"/>
          <w:color w:val="3A4A28"/>
          <w:sz w:val="20"/>
        </w:rPr>
        <w:t>Double-digit Manhattan mark-to-market rent growth (+11.7% GAAP/+9.7% cash on new leases) demonstrating strong demand for premium, transit-adjacent NYC office space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Q1 2026 comparable FFO declined 17.5% YoY to $0.52/share on $30.3M higher operating expenses and interest costs — near-term earnings remain choppy ahead of the 2027 inflection [1]</w:t>
      </w:r>
    </w:p>
    <w:p>
      <w:pPr>
        <w:spacing w:before="40" w:after="40"/>
        <w:ind w:left="283"/>
      </w:pPr>
      <w:r>
        <w:rPr>
          <w:rFonts w:ascii="Calibri" w:hAnsi="Calibri"/>
          <w:b/>
          <w:color w:val="4A6B25"/>
          <w:sz w:val="20"/>
        </w:rPr>
        <w:t xml:space="preserve">2. </w:t>
      </w:r>
      <w:r>
        <w:rPr>
          <w:rFonts w:ascii="Calibri" w:hAnsi="Calibri"/>
          <w:b w:val="0"/>
          <w:color w:val="3A4A28"/>
          <w:sz w:val="20"/>
        </w:rPr>
        <w:t>D/E of 140% and legacy of two dividend cuts (2020 and 2023) leave the balance sheet stretched and the 5-year dividend growth CAGR deeply negative at -20.8%, limiting income appeal [6]</w:t>
      </w:r>
    </w:p>
    <w:p>
      <w:pPr>
        <w:spacing w:before="40" w:after="40"/>
        <w:ind w:left="283"/>
      </w:pPr>
      <w:r>
        <w:rPr>
          <w:rFonts w:ascii="Calibri" w:hAnsi="Calibri"/>
          <w:b/>
          <w:color w:val="4A6B25"/>
          <w:sz w:val="20"/>
        </w:rPr>
        <w:t xml:space="preserve">3. </w:t>
      </w:r>
      <w:r>
        <w:rPr>
          <w:rFonts w:ascii="Calibri" w:hAnsi="Calibri"/>
          <w:b w:val="0"/>
          <w:color w:val="3A4A28"/>
          <w:sz w:val="20"/>
        </w:rPr>
        <w:t>Structural hybrid-work uncertainty persists — if premium NYC office demand fails to materialize at the scale needed to fill PENN District, the $2.5B redevelopment investment faces years of below-target returns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Vornado's core business — owning, managing, and developing physical real estate in prime Manhattan, Chicago, and San Francisco locations — is structurally immune to AI displacement; no software can substitute for a Class A office building at PENN Station or a flagship retail space [2]. AI-driven remote-work trends pose an indirect demand risk to office REITs broadly, but Vornado's concentration in premium, transit-adjacent, amenity-rich properties (evidenced by double-digit Manhattan mark-to-market rent growth) positions it in the segment least exposed to remote-work substitution [1]. The rising demand from AI companies for premium office space in gateway cities could become a tailwind. AI Opportunity (0/1): No AI-related revenue streams; Vornado does not develop or sell AI products or services.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Vornado Realty Trust Q1/Q2 2026 Earnings — Q2 Revenue $462M (+4.71% YoY), TTM $1.829B (+1.37%), Q1 FFO $0.52/share, PENN District Update, Park Avenue Plaza Acquisition, May-August 2026</w:t>
      </w:r>
    </w:p>
    <w:p>
      <w:pPr>
        <w:spacing w:before="20" w:after="20"/>
        <w:ind w:left="170"/>
      </w:pPr>
      <w:r>
        <w:rPr>
          <w:rFonts w:ascii="Calibri" w:hAnsi="Calibri"/>
          <w:b/>
          <w:color w:val="4A6B25"/>
          <w:sz w:val="15"/>
        </w:rPr>
        <w:t xml:space="preserve">2. </w:t>
      </w:r>
      <w:r>
        <w:rPr>
          <w:rFonts w:ascii="Calibri" w:hAnsi="Calibri"/>
          <w:b w:val="0"/>
          <w:color w:val="3A4A28"/>
          <w:sz w:val="17"/>
        </w:rPr>
        <w:t>Vornado Corporate Profile — Chairman/CEO Steven Roth (46-Year Tenure), President/CFO Michael Franco, Executive Team Rated 'A' on Comparably, vno.com,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Vornado ESG and Sustainability — 95% LEED Certified, 100% Renewable Energy Credits, 28% Energy Reduction Since 2009, EPA ENERGY STAR Partner of the Year, GRESB Score, ESG Reports 2019-2024</w:t>
      </w:r>
    </w:p>
    <w:p>
      <w:pPr>
        <w:spacing w:before="20" w:after="20"/>
        <w:ind w:left="170"/>
      </w:pPr>
      <w:r>
        <w:rPr>
          <w:rFonts w:ascii="Calibri" w:hAnsi="Calibri"/>
          <w:b/>
          <w:color w:val="4A6B25"/>
          <w:sz w:val="15"/>
        </w:rPr>
        <w:t xml:space="preserve">4. </w:t>
      </w:r>
      <w:r>
        <w:rPr>
          <w:rFonts w:ascii="Calibri" w:hAnsi="Calibri"/>
          <w:b w:val="0"/>
          <w:color w:val="3A4A28"/>
          <w:sz w:val="17"/>
        </w:rPr>
        <w:t>Vornado Insider Trading — Director Daniel Tisch $5.6M+ Open-Market Purchases (215,000 shares at $25-28), Q1 2026, StockTitan/SEC Form 4</w:t>
      </w:r>
    </w:p>
    <w:p>
      <w:pPr>
        <w:spacing w:before="20" w:after="20"/>
        <w:ind w:left="170"/>
      </w:pPr>
      <w:r>
        <w:rPr>
          <w:rFonts w:ascii="Calibri" w:hAnsi="Calibri"/>
          <w:b/>
          <w:color w:val="4A6B25"/>
          <w:sz w:val="15"/>
        </w:rPr>
        <w:t xml:space="preserve">5. </w:t>
      </w:r>
      <w:r>
        <w:rPr>
          <w:rFonts w:ascii="Calibri" w:hAnsi="Calibri"/>
          <w:b w:val="0"/>
          <w:color w:val="3A4A28"/>
          <w:sz w:val="17"/>
        </w:rPr>
        <w:t>Vornado FFO Consensus — $2.32/share (2026), $2.69/share (2027, +14.5%), GuruFocus/Nasdaq,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StockAnalysis / MacroTrends — VNO Key Statistics: D/E 140%, ROE 14.44%, Profit Margin 51.77% (FY2025 w/ disposal gains), Avg Volume 1.18M,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