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VNRX</w:t>
      </w:r>
      <w:r>
        <w:rPr>
          <w:rFonts w:ascii="Calibri" w:hAnsi="Calibri"/>
          <w:b/>
          <w:color w:val="1A2010"/>
          <w:sz w:val="40"/>
        </w:rPr>
        <w:t xml:space="preserve">  VolitionRx Limited</w:t>
      </w:r>
    </w:p>
    <w:p>
      <w:pPr>
        <w:spacing w:after="120"/>
      </w:pPr>
      <w:r>
        <w:rPr>
          <w:rFonts w:ascii="Calibri" w:hAnsi="Calibri"/>
          <w:b/>
          <w:color w:val="6E8450"/>
          <w:sz w:val="18"/>
        </w:rPr>
        <w:t>GROWTH SLEEVE · 2026-10-17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ASE · United States</w:t>
      </w:r>
    </w:p>
    <w:p>
      <w:pPr>
        <w:spacing w:after="80"/>
      </w:pPr>
      <w:r>
        <w:rPr>
          <w:rFonts w:ascii="Calibri" w:hAnsi="Calibri"/>
          <w:b w:val="0"/>
          <w:color w:val="3A4A28"/>
          <w:sz w:val="20"/>
        </w:rPr>
        <w:t>VolitionRx is a multi-national epigenetics company developing blood-based diagnostic tests using its proprietary Nu.Q platform to detect and monitor cancers and diseases associated with NETosis. Products include Nu.Q Vet (veterinary cancer screening), Nu.Q Nets (sepsis detection), Nu.Q Discover (nucleosome profiling), and pipeline candidates Nu.Q Cancer and Capture-PCR/Seq for early cancer detection. FY2025 revenue was $1.73M (+40% YoY), but the company remains deeply unprofitable with a $5.4M market cap and is operating under a NYSE American compliance plan after failing minimum stockholders' equity requirements [1][3].</w:t>
      </w:r>
    </w:p>
    <w:p>
      <w:r>
        <w:rPr>
          <w:rFonts w:ascii="Calibri" w:hAnsi="Calibri"/>
          <w:b/>
          <w:color w:val="6E8450"/>
          <w:sz w:val="18"/>
        </w:rPr>
        <w:t>57 Employees · https://volition.com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VolitionRx has been developing epigenetics-based diagnostics since its founding in 2010, but after 16 years has generated only $1.73M in annual revenue (FY2025), with products still primarily in research-use-only stage [1]. No significant product launches or market pivots have generated meaningful commercial traction. The transition from research-use to clinical diagnostic sales remains incomplete. AI Deployment (0/2): No AI-powered products or AI-related initiatives evident. The company's technology is based on biological assays (nucleosome detection) rather than computational methods. Market Share (0/2): Negligible market presence with $1.73M in revenue against a multi-billion dollar diagnostics market. The company competes against established players like Grail (Illumina), Guardant Health, and Exact Sciences with vastly greater resources and clinical data [1]. Product Pipeline (1/2): Multiple products in development — Nu.Q Cancer, Nu.Q Nets, Capture-PCR/Seq — addressing cancer detection, sepsis, and liquid biopsy applications. However, timelines are vague and dependent on regulatory approvals and clinical validation that the company's limited cash position may not support [1][4]. R&amp;D Intensity (1/1): Operating expenses of $23.5M on $1.73M revenue indicate nearly all spending is on R&amp;D and development, representing extreme R&amp;D intensity well above the medical device industry average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Cameron Reynolds has articulated a purpose of 'detecting, guiding treatment, and monitoring disease' through epigenetics — clear and identifying what the company does and for whom, but not distinctive enough to differentiate from dozens of other diagnostic startups pursuing cancer detection through liquid biopsy [4]. The mission connects to a larger purpose (earlier cancer detection) but hasn't been validated by execution. Community Impact (0/2): No evidence of charitable giving, community programs, or community investment beyond the core business of developing diagnostic tests. The company's 57 employees are focused on survival and product development. Employee Retention (0/2): No turnover data or employee tenure metrics available. With only 57 employees and a $5.4M market cap, the company is too small to generate meaningful retention metrics. Insider Buying (0/2): No evidence of meaningful net insider buying by CEO Cameron Reynolds or other executives in the last 12 months. At this market cap and stock price ($0.18), any insider buying would be negligible in absolute terms.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limited available metrics. Most financial metrics are unavailable or not meaningful for a pre-revenue-stage company with a $5.4M market cap. D/E and ROE data are unavailable (excluded). Revenue growth YoY of -2.0% scores 0.60 between the -20% floor and 10% target — the decline reflects Q1 2026 revenue miss versus expectations, not a structural decline [2]. Profit margin at 0% (effectively deeply negative given $23.5M operating expenses on $1.73M revenue; yfinance reports 0%) scores 0.0 at the floor [1]. Forward P/E is negative (unprofitable company, excluded as not meaningful). Forward PEG unavailable (excluded). Daily dollar volume of $1.54M barely clears the $1M liquidity floor [1]. Only two metrics are scoreable, making the infrastructure score unreliable as an indicator of financial health for this pre-commercial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VolitionRx operates in survival mode — focused on extending its cash runway, regaining NYSE American compliance, and achieving commercial traction rather than playing an infinite game. The company has spent 16 years in development with minimal commercial results, and its current financial position raises substantial going-concern questions. There is no evidence of the organizational strength, leadership courage, or strategic consistency that characterizes infinite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cause of detecting cancer earlier through epigenetics is compelling in principle, but after 16 years of development with only $1.73M in annual revenue, the cause has not been validated by execution [1][4]. The company's purpose reads as a scientific aspiration rather than a strategic north star that drives organizational decisions. Leadership does not reference the cause in strategic communications beyond standard biotech language about improving patient outcomes.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57 employees and a $5.4M market cap, the organizational foundation for trust is fragile. The company faces NYSE American delisting risk (compliance plan accepted April 2026 with August 2027 deadline), material weakness in internal controls over financial reporting, and dependence on additional capital raises [3]. These survival pressures create an environment focused on preservation rather than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diagnostics space includes formidable competitors — Grail, Guardant Health, Exact Sciences — with vastly greater resources, clinical data, and commercial infrastructure. VolitionRx's competitive positioning does not reference learning from these rivals' strengths or using competitive pressure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has pursued the same fundamental technology (nucleosome-based diagnostics) for 16 years without a major strategic pivot. The expansion into veterinary diagnostics (Nu.Q Vet) represents a market adjacency, not a transformative reinvention. The company is too resource-constrained to make a dramatic strategic shift even if the cause demanded it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bets or principled decisions that sacrifice short-term results. The company reduced operating expenses 17% in 2025 (from $28.3M to $23.5M), which is a survival measure rather than a courageous investment [1]. Leadership is focused on extending the cash runway and maintaining listing compliance — necessary but not demonstrating the kind of courage Sinek describes.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VolitionRx at $0.18 with a $5.4M market cap is a speculative pre-commercial diagnostics company developing epigenetics-based blood tests for cancer detection and monitoring. FY2025 revenue grew 40% to $1.73M as the Nu.Q platform begins transitioning from research-use-only to clinical applications [1]. The product pipeline spans cancer detection (Nu.Q Cancer), sepsis (Nu.Q Nets), and liquid biopsy (Capture-PCR/Seq), addressing large TAMs in the multi-billion dollar cancer diagnostics market. Operating expenses decreased 17% to $23.5M in 2025, extending the cash runway [1]. The Inspire Insight score of 44 (ALIGNED) reflects positive attributions for Customer Welfare and Product Access.</w:t>
      </w:r>
    </w:p>
    <w:p>
      <w:pPr>
        <w:spacing w:after="120"/>
      </w:pPr>
      <w:r>
        <w:rPr>
          <w:rFonts w:ascii="Calibri" w:hAnsi="Calibri"/>
          <w:b w:val="0"/>
          <w:color w:val="3A4A28"/>
          <w:sz w:val="20"/>
        </w:rPr>
        <w:t>The bear case is overwhelming. At $5.4M market cap and $0.18 per share, VNRX is a micro-cap at severe risk of delisting — the company received a NYSE American non-compliance notification in February 2026 for failing minimum stockholders' equity requirements, with an August 2027 deadline to regain compliance [3]. Q1 2026 revenue of approximately $985K missed the $1.5M consensus, and the company acknowledged a material weakness in internal controls [2][3]. Net losses continue at approximately $20M annually against $1.73M in revenue, with only $2.8M cash on hand — management has acknowledged substantial doubt about the company's ability to continue as a going concern without additional funding [1]. The 1-for-20 reverse split history and stock trading at 95% below its 50-day SMA of $0.35 signal profound market skepticism. The diagnostics competitive landscape is dominated by well-funded players (Grail, Guardant, Exact Sciences) with far greater clinical data and commercial reach.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Nu.Q Cancer and Capture-PCR clinical validation milestones could demonstrate competitive sensitivity/specificity for early cancer detection, attracting partnership or licensing interest from larger diagnostics companies [4]</w:t>
      </w:r>
    </w:p>
    <w:p>
      <w:pPr>
        <w:spacing w:before="40" w:after="40"/>
        <w:ind w:left="283"/>
      </w:pPr>
      <w:r>
        <w:rPr>
          <w:rFonts w:ascii="Calibri" w:hAnsi="Calibri"/>
          <w:b/>
          <w:color w:val="4A6B25"/>
          <w:sz w:val="20"/>
        </w:rPr>
        <w:t xml:space="preserve">2. </w:t>
      </w:r>
      <w:r>
        <w:rPr>
          <w:rFonts w:ascii="Calibri" w:hAnsi="Calibri"/>
          <w:b w:val="0"/>
          <w:color w:val="3A4A28"/>
          <w:sz w:val="20"/>
        </w:rPr>
        <w:t>Transition from research-use-only to clinical diagnostic sales could accelerate revenue if regulatory approvals are secured for the Nu.Q platform in key markets</w:t>
      </w:r>
    </w:p>
    <w:p>
      <w:pPr>
        <w:spacing w:before="40" w:after="40"/>
        <w:ind w:left="283"/>
      </w:pPr>
      <w:r>
        <w:rPr>
          <w:rFonts w:ascii="Calibri" w:hAnsi="Calibri"/>
          <w:b/>
          <w:color w:val="4A6B25"/>
          <w:sz w:val="20"/>
        </w:rPr>
        <w:t xml:space="preserve">3. </w:t>
      </w:r>
      <w:r>
        <w:rPr>
          <w:rFonts w:ascii="Calibri" w:hAnsi="Calibri"/>
          <w:b w:val="0"/>
          <w:color w:val="3A4A28"/>
          <w:sz w:val="20"/>
        </w:rPr>
        <w:t>Operating expense reduction (down 17% in 2025) extends cash runway while the company pursues commercial traction and potential strategic partnerships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 $2.8M cash against ~$20M annual losses creates existential funding risk; the company explicitly acknowledges substantial doubt about continuing as a going concern without additional capital [1]</w:t>
      </w:r>
    </w:p>
    <w:p>
      <w:pPr>
        <w:spacing w:before="40" w:after="40"/>
        <w:ind w:left="283"/>
      </w:pPr>
      <w:r>
        <w:rPr>
          <w:rFonts w:ascii="Calibri" w:hAnsi="Calibri"/>
          <w:b/>
          <w:color w:val="4A6B25"/>
          <w:sz w:val="20"/>
        </w:rPr>
        <w:t xml:space="preserve">2. </w:t>
      </w:r>
      <w:r>
        <w:rPr>
          <w:rFonts w:ascii="Calibri" w:hAnsi="Calibri"/>
          <w:b w:val="0"/>
          <w:color w:val="3A4A28"/>
          <w:sz w:val="20"/>
        </w:rPr>
        <w:t>NYSE American delisting risk — compliance plan accepted April 2026 with August 2027 deadline; failure to meet minimum stockholders' equity requirements could trigger delisting proceedings [3]</w:t>
      </w:r>
    </w:p>
    <w:p>
      <w:pPr>
        <w:spacing w:before="40" w:after="40"/>
        <w:ind w:left="283"/>
      </w:pPr>
      <w:r>
        <w:rPr>
          <w:rFonts w:ascii="Calibri" w:hAnsi="Calibri"/>
          <w:b/>
          <w:color w:val="4A6B25"/>
          <w:sz w:val="20"/>
        </w:rPr>
        <w:t xml:space="preserve">3. </w:t>
      </w:r>
      <w:r>
        <w:rPr>
          <w:rFonts w:ascii="Calibri" w:hAnsi="Calibri"/>
          <w:b w:val="0"/>
          <w:color w:val="3A4A28"/>
          <w:sz w:val="20"/>
        </w:rPr>
        <w:t>Competitive moat is unproven — 16 years of development with $1.73M revenue against well-funded competitors (Grail, Guardant, Exact Sciences) with billions in clinical data and established commercial infrastructure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VolitionRx's core technology — biological assays detecting nucleosome modifications in blood samples — requires physical laboratory processing that AI cannot replicate. The company's proprietary Nu.Q platform measures epigenetic biomarkers through immunoassays, which are fundamentally wet-lab processes with regulatory barriers (FDA/CE clearance). AI could enhance diagnostic accuracy by improving pattern recognition in nucleosome profiling data, making it complementary rather than competitive. However, AI-powered competing diagnostic approaches (e.g., cfDNA analysis with machine learning at Grail, Guardant) could achieve superior sensitivity/specificity through computational methods applied to different biomarkers, reducing the addressable market for nucleosome-based assays [4]. The company's minimal commercial footprint means it has not yet established the clinical validation moat that would fully protect it. AI Opportunity (0/1): No AI-related revenue. VolitionRx's products are biological assays, not computational tools, and the company has not announced any AI integration into its diagnostic platform.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VolitionRx FY2025 Annual Results — Revenue $1.73M (+40% YoY), Operating Expenses Decreased 17% to $23.5M, Material Weakness Disclosed, StockAnalysis/Digrin, 2025-2026</w:t>
      </w:r>
    </w:p>
    <w:p>
      <w:pPr>
        <w:spacing w:before="20" w:after="20"/>
        <w:ind w:left="170"/>
      </w:pPr>
      <w:r>
        <w:rPr>
          <w:rFonts w:ascii="Calibri" w:hAnsi="Calibri"/>
          <w:b/>
          <w:color w:val="4A6B25"/>
          <w:sz w:val="15"/>
        </w:rPr>
        <w:t xml:space="preserve">2. </w:t>
      </w:r>
      <w:r>
        <w:rPr>
          <w:rFonts w:ascii="Calibri" w:hAnsi="Calibri"/>
          <w:b w:val="0"/>
          <w:color w:val="3A4A28"/>
          <w:sz w:val="17"/>
        </w:rPr>
        <w:t>VolitionRx Q1 2026 Results — Revenue Miss ($985K vs $1.5M Consensus), Guidance Concerns, Ongoing Commercial Transition, FXEmpire/Benzinga, May 2026</w:t>
      </w:r>
    </w:p>
    <w:p>
      <w:pPr>
        <w:spacing w:before="20" w:after="20"/>
        <w:ind w:left="170"/>
      </w:pPr>
      <w:r>
        <w:rPr>
          <w:rFonts w:ascii="Calibri" w:hAnsi="Calibri"/>
          <w:b/>
          <w:color w:val="4A6B25"/>
          <w:sz w:val="15"/>
        </w:rPr>
        <w:t xml:space="preserve">3. </w:t>
      </w:r>
      <w:r>
        <w:rPr>
          <w:rFonts w:ascii="Calibri" w:hAnsi="Calibri"/>
          <w:b w:val="0"/>
          <w:color w:val="3A4A28"/>
          <w:sz w:val="17"/>
        </w:rPr>
        <w:t>NYSE American Compliance — Non-Compliance Notification February 2026, Plan Accepted April 2026, August 2027 Deadline, SEC Filings/BiopharmaWatch, 2026</w:t>
      </w:r>
    </w:p>
    <w:p>
      <w:pPr>
        <w:spacing w:before="20" w:after="20"/>
        <w:ind w:left="170"/>
      </w:pPr>
      <w:r>
        <w:rPr>
          <w:rFonts w:ascii="Calibri" w:hAnsi="Calibri"/>
          <w:b/>
          <w:color w:val="4A6B25"/>
          <w:sz w:val="15"/>
        </w:rPr>
        <w:t xml:space="preserve">4. </w:t>
      </w:r>
      <w:r>
        <w:rPr>
          <w:rFonts w:ascii="Calibri" w:hAnsi="Calibri"/>
          <w:b w:val="0"/>
          <w:color w:val="3A4A28"/>
          <w:sz w:val="17"/>
        </w:rPr>
        <w:t>VolitionRx Leadership and Strategy — CEO Cameron Reynolds Since 2011, Chairman Timothy Still Appointed November 2024, CMO Dr. Andrew Retter Hired 2024, SEC Filings/BioSpace,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