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VOD</w:t>
      </w:r>
      <w:r>
        <w:rPr>
          <w:rFonts w:ascii="Calibri" w:hAnsi="Calibri"/>
          <w:b/>
          <w:color w:val="1A2010"/>
          <w:sz w:val="40"/>
        </w:rPr>
        <w:t xml:space="preserve">  Vodafone Group Plc</w:t>
      </w:r>
    </w:p>
    <w:p>
      <w:pPr>
        <w:spacing w:after="120"/>
      </w:pPr>
      <w:r>
        <w:rPr>
          <w:rFonts w:ascii="Calibri" w:hAnsi="Calibri"/>
          <w:b/>
          <w:color w:val="6E8450"/>
          <w:sz w:val="18"/>
        </w:rPr>
        <w:t>DIVIDEND SLEEVE · 2026-08-30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Carriers · NASDAQ · United Kingdom</w:t>
      </w:r>
    </w:p>
    <w:p>
      <w:pPr>
        <w:spacing w:after="80"/>
      </w:pPr>
      <w:r>
        <w:rPr>
          <w:rFonts w:ascii="Calibri" w:hAnsi="Calibri"/>
          <w:b w:val="0"/>
          <w:color w:val="3A4A28"/>
          <w:sz w:val="20"/>
        </w:rPr>
        <w:t>Vodafone Group provides mobile and fixed-line telecommunications services to over 355 million customers across 15 countries, with mobile partnerships in 40+ additional markets. Through Vodacom, its Africa subsidiary, Vodafone operates financial technology businesses serving ~92 million customers across seven countries. The company completed a transformative Three UK merger in 2025 and divested operations in Spain, Italy, and other markets to refocus on core UK, Germany, and Africa positions. FY2026 revenue reached €40.5B (+8% YoY) with service revenue up 8.8% to €33.5B, driven by Africa and Turkey.</w:t>
      </w:r>
    </w:p>
    <w:p>
      <w:r>
        <w:rPr>
          <w:rFonts w:ascii="Calibri" w:hAnsi="Calibri"/>
          <w:b/>
          <w:color w:val="6E8450"/>
          <w:sz w:val="18"/>
        </w:rPr>
        <w:t>95,000 Employees · https://www.vodafone.com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Vodafone executed a major portfolio restructuring over the past three years, completing the Three UK merger to create the UK's largest mobile operator and divesting operations in Spain (€5B), Italy (€8B), and Hungary to sharpen focus on growth markets [1]. While strategically significant, these are consolidation moves rather than product innovation breakthroughs. Vodacom's M-Pesa financial services expansion in Africa represents genuine market creation, processing billions in mobile money transactions across seven countries. AI Deployment (1/2): Vodafone won DWG's Digital Workplace of the Year Award for 'AI Enablement at Scale,' deploying AI across 20+ markets with standardized compliance frameworks [2]. Internal applications include AI-supported RFP processing and leadership 'flight school' coaching for AI prompting. However, no customer-facing AI products with quantified revenue impact have been announced. Market Share (1/2): Vodafone holds the #1 mobile position in the UK post-Three merger and maintains strong positions in Germany (second-largest mobile operator) and through Vodacom in South Africa, Tanzania, and other African markets. However, the company has been shedding market positions across Europe through divestitures rather than gaining share. Product Pipeline (0/2): No specific next-generation products with named launch dates and revenue visibility have been publicly announced beyond continued network investment and 5G rollout. R&amp;D Intensity (0/1): Telecom R&amp;D spending is structurally low relative to technology sectors, and Vodafone's technology investment is primarily capital expenditure on network infrastructure rather than product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Vodafone's purpose — 'We connect for a better future by using technology to improve lives, livelihoods and the planet' — is clear and connects the company's work to societal impact beyond pure connectivity [3]. The digital inclusion and sustainability dimensions add specificity. However, it is not deeply distinctive from telecom peers (Deutsche Telekom, Orange) who articulate similar connectivity-for-good missions, and it has not been validated through decades of consistent strategic decisions driven by this purpose. Community Impact (1/2): Vodafone Foundation operates charitable programs focused on digital inclusion, disaster response, and women's empowerment across its operating markets. M-Pesa in Africa serves as a genuine financial inclusion tool for unbanked populations [3]. However, specific dollar amounts of philanthropic commitment and measurable community outcomes are not prominently disclosed. Employee Retention (0/2): No specific employee turnover, tenure, or retention data is publicly available. The extensive restructuring (divestitures, Three UK integration, headcount reductions) creates reasonable concern about organizational stability. Insider Buying (0/2): No evidence of meaningful net insider buying by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Vodafone's strongest infrastructure elements are its low Forward P/E of 11.67 (well below the 20 target, scoring full marks) and 19 consecutive years of dividend payments (well above the 10-year target, scoring full marks at 2x weight) [4]. Revenue growth YoY of 8.05% approaches but falls short of the 10% target, scoring 0.94. D/E of 95% is above the 70% target but below the 300% floor, scoring 0.89. The key weaknesses are negative ROE of -6.62% (scoring 0) reflecting net losses from impairments and restructuring charges, negative profit margin of -0.98% (scoring 0), zero consecutive years of dividend growth after Vodafone cut its dividend ~30% in the past year, and a deeply negative 5-year dividend CAGR of -11.4% (scoring 0 at 2x weight) [1]. Payout ratio excluded due to negative earnings. The stock clears the liquidity floor at ~$73.4M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Vodafone operates with mixed infinite-finite game characteristics. The company's stated purpose around digital inclusion and connectivity has genuine elements, particularly through M-Pesa's financial inclusion impact in Africa. However, the extensive portfolio reshuffling — selling Spain, Italy, Hungary, and merging with Three UK — reflects a financially-driven optimization strategy rather than cause-driven strategic consistency. CEO Margherita Della Valle has prioritized 'simplify, grow, and deliver' as a turnaround mantra focused on operational efficiency and shareholder returns, which is pragmatic but fundamentally finite in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Vodafone articulates a purpose — 'connecting for a better future' — that connects its work to societal benefit, particularly through M-Pesa's financial inclusion impact in Africa [3]. However, the cause reads more as marketing overlay than strategic North Star. The company's recent strategic decisions (divesting five European markets, merging with Three UK, cutting dividends) appear driven by financial necessity and shareholder pressure rather than purpose-driven conviction. The purpose has not been tested through decades of consistent execution — instead, the company's strategy has shifted significantly every few years.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Vodafone maintains a stable core workforce with competitive compensation in the telecom industry and leadership continuity under CEO Margherita Della Valle (appointed 2023). The company emphasizes leadership development through programs like the AI 'flight school' [2]. However, the extensive restructuring — divesting five markets, integrating Three UK, and operational efficiency programs — creates inevitable organizational disruption and uncertainty for employees, limiting evidence of the deep trust Sinek describes.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Vodafone demonstrates an infinite competitive mindset by acknowledging and learning from rivals' strengths. The decision to partner with competitors on infrastructure sharing (tower company Vantage Towers), the acknowledgment that Safaricom's M-Pesa innovation set the template for mobile money, and the willingness to exit markets where competitors held structural advantages (Spain, Italy) all reflect competitive self-awareness oriented toward self-improvement rather than market domination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Vodafone has demonstrated significant strategic flexibility by fundamentally reshaping its geographic footprint — divesting five European markets and doubling down on UK (via Three merger), Germany, and Africa [1]. The Vantage Towers spinoff and partial sale represented a willingness to rethink asset ownership models. However, these changes feel driven by financial pressure and competitive weakness in divested markets rather than by a proactive strategic vision aligned with a Just Cause, placing this closer to pragmatic adaptation than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Three UK merger represented a bold strategic bet — regulatory risk, integration complexity, and significant capital commitment in a market where Vodafone was the #3 player [1]. The willingness to cut dividends (despite investor backlash) to preserve balance sheet flexibility and invest in network quality shows prioritizing long-term capability over short-term shareholder appeasement. However, these decisions appear driven by competitive necessity rather than proactive long-term vision, and the divestiture program reads more as retreat than as courageous reinvention.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Vodafone at 11.67x forward earnings offers deep value in a recovering telecom franchise with FY2026 revenue of €40.5B (+8% YoY) and EBITDAaL of €11.6B at the top end of guidance [1]. The Three UK merger creates the UK's largest mobile operator with significant synergy potential (£700M+ annual run-rate savings targeted), while Africa continues delivering double-digit service revenue growth led by Egypt (+43.9% YoY) and M-Pesa's expanding financial services ecosystem [1]. The company's restructured portfolio — focused on UK, Germany, Turkey, and Africa — is leaner and higher-growth than the pre-divestiture conglomerate. Adjusted free cash flow of €2.6B on guidance basis provides dividend coverage despite recent cuts.</w:t>
      </w:r>
    </w:p>
    <w:p>
      <w:pPr>
        <w:spacing w:after="120"/>
      </w:pPr>
      <w:r>
        <w:rPr>
          <w:rFonts w:ascii="Calibri" w:hAnsi="Calibri"/>
          <w:b w:val="0"/>
          <w:color w:val="3A4A28"/>
          <w:sz w:val="20"/>
        </w:rPr>
        <w:t>The bear case centers on persistent negative earnings, dividend deterioration, and competitive headwinds. Negative profit margin of -0.98% and negative ROE of -6.62% reflect ongoing restructuring charges and impairments that mask underlying operational improvement [4]. The dividend has been cut approximately 30% over the past year with a 5-year CAGR of -11.4%, destroying the income thesis that historically attracted Vodafone investors. Germany — the company's largest European market — faces intense fixed-broadband competition from Deutsche Telekom's fiber rollout. The Three UK integration carries significant execution risk, regulatory scrutiny, and network harmonization costs over the next 2-3 years. Four analysts consensus is 'Sell' with a $13.84 target, suggesting ~13% downside from current levels. Currency exposure to the Turkish lira and various African currencies introduces persistent translation volatility despite strong local-currency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Three UK merger synergies of £700M+ annual run-rate targeted by FY2028, with network integration creating the UK's largest mobile operator and enabling spectrum rationalization and site consolidation [1]</w:t>
      </w:r>
    </w:p>
    <w:p>
      <w:pPr>
        <w:spacing w:before="40" w:after="40"/>
        <w:ind w:left="283"/>
      </w:pPr>
      <w:r>
        <w:rPr>
          <w:rFonts w:ascii="Calibri" w:hAnsi="Calibri"/>
          <w:b/>
          <w:color w:val="4A6B25"/>
          <w:sz w:val="20"/>
        </w:rPr>
        <w:t xml:space="preserve">2. </w:t>
      </w:r>
      <w:r>
        <w:rPr>
          <w:rFonts w:ascii="Calibri" w:hAnsi="Calibri"/>
          <w:b w:val="0"/>
          <w:color w:val="3A4A28"/>
          <w:sz w:val="20"/>
        </w:rPr>
        <w:t>Africa service revenue momentum — Vodacom and Turkey delivered double-digit growth in FY2026 with M-Pesa financial services expanding addressable market beyond traditional telecom into payments, lending, and insurance [1]</w:t>
      </w:r>
    </w:p>
    <w:p>
      <w:pPr>
        <w:spacing w:before="40" w:after="40"/>
        <w:ind w:left="283"/>
      </w:pPr>
      <w:r>
        <w:rPr>
          <w:rFonts w:ascii="Calibri" w:hAnsi="Calibri"/>
          <w:b/>
          <w:color w:val="4A6B25"/>
          <w:sz w:val="20"/>
        </w:rPr>
        <w:t xml:space="preserve">3. </w:t>
      </w:r>
      <w:r>
        <w:rPr>
          <w:rFonts w:ascii="Calibri" w:hAnsi="Calibri"/>
          <w:b w:val="0"/>
          <w:color w:val="3A4A28"/>
          <w:sz w:val="20"/>
        </w:rPr>
        <w:t>Germany return to growth in FY2026 after prolonged cable competition headwinds, with new pricing and bundling strategies gaining traction alongside fiber-to-the-premise rollout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negative net income from restructuring charges and impairments could continue depressing ROE and potentially trigger further dividend reductions, eroding income-oriented shareholder base [4]</w:t>
      </w:r>
    </w:p>
    <w:p>
      <w:pPr>
        <w:spacing w:before="40" w:after="40"/>
        <w:ind w:left="283"/>
      </w:pPr>
      <w:r>
        <w:rPr>
          <w:rFonts w:ascii="Calibri" w:hAnsi="Calibri"/>
          <w:b/>
          <w:color w:val="4A6B25"/>
          <w:sz w:val="20"/>
        </w:rPr>
        <w:t xml:space="preserve">2. </w:t>
      </w:r>
      <w:r>
        <w:rPr>
          <w:rFonts w:ascii="Calibri" w:hAnsi="Calibri"/>
          <w:b w:val="0"/>
          <w:color w:val="3A4A28"/>
          <w:sz w:val="20"/>
        </w:rPr>
        <w:t>Three UK integration execution risk — regulatory commitments, network technology harmonization between Vodafone and Three networks, and customer retention during migration create 2-3 years of uncertainty [1]</w:t>
      </w:r>
    </w:p>
    <w:p>
      <w:pPr>
        <w:spacing w:before="40" w:after="40"/>
        <w:ind w:left="283"/>
      </w:pPr>
      <w:r>
        <w:rPr>
          <w:rFonts w:ascii="Calibri" w:hAnsi="Calibri"/>
          <w:b/>
          <w:color w:val="4A6B25"/>
          <w:sz w:val="20"/>
        </w:rPr>
        <w:t xml:space="preserve">3. </w:t>
      </w:r>
      <w:r>
        <w:rPr>
          <w:rFonts w:ascii="Calibri" w:hAnsi="Calibri"/>
          <w:b w:val="0"/>
          <w:color w:val="3A4A28"/>
          <w:sz w:val="20"/>
        </w:rPr>
        <w:t>Currency devaluation in Turkey and key African markets (Egypt, Nigeria) can inflate local-currency growth while depressing euro-reported results, masking true underlying performance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Vodafone's core business is structurally protected from AI disruption — mobile spectrum licenses, physical network infrastructure (towers, fiber, data centers), and regulatory barriers to entry create moats that AI cannot replicate or circumvent [2]. AI actually increases demand for Vodafone's services as data consumption grows exponentially from AI workloads, cloud computing, and connected devices. The Three UK merger strengthened network density and capacity to serve AI-driven data demand growth. However, AI-powered network optimization by competitors and potential disintermediation of traditional telco services by AI-driven MVNOs represent emerging competitive pressures, scoring below IMMUNE. AI Opportunity (0/1): Vodafone deploys AI internally for network optimization, customer service, and RFP processing, but does not generate quantifiable standalone AI revenue from customer-facing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Vodafone FY2026 Results — Revenue €40.5B (+8%), Service Revenue €33.5B (+8.8%), EBITDAaL €11.6B, Free Cash Flow €2.6B — Vodafone Investor Relations, May 2026</w:t>
      </w:r>
    </w:p>
    <w:p>
      <w:pPr>
        <w:spacing w:before="20" w:after="20"/>
        <w:ind w:left="170"/>
      </w:pPr>
      <w:r>
        <w:rPr>
          <w:rFonts w:ascii="Calibri" w:hAnsi="Calibri"/>
          <w:b/>
          <w:color w:val="4A6B25"/>
          <w:sz w:val="15"/>
        </w:rPr>
        <w:t xml:space="preserve">2. </w:t>
      </w:r>
      <w:r>
        <w:rPr>
          <w:rFonts w:ascii="Calibri" w:hAnsi="Calibri"/>
          <w:b w:val="0"/>
          <w:color w:val="3A4A28"/>
          <w:sz w:val="17"/>
        </w:rPr>
        <w:t>Vodafone AI Enablement and Leadership — DWG Digital Workplace of the Year, AI at Scale across 20+ markets — Digital Workplace Group, Vodafone Careers, 2026</w:t>
      </w:r>
    </w:p>
    <w:p>
      <w:pPr>
        <w:spacing w:before="20" w:after="20"/>
        <w:ind w:left="170"/>
      </w:pPr>
      <w:r>
        <w:rPr>
          <w:rFonts w:ascii="Calibri" w:hAnsi="Calibri"/>
          <w:b/>
          <w:color w:val="4A6B25"/>
          <w:sz w:val="15"/>
        </w:rPr>
        <w:t xml:space="preserve">3. </w:t>
      </w:r>
      <w:r>
        <w:rPr>
          <w:rFonts w:ascii="Calibri" w:hAnsi="Calibri"/>
          <w:b w:val="0"/>
          <w:color w:val="3A4A28"/>
          <w:sz w:val="17"/>
        </w:rPr>
        <w:t>Vodafone ESG and Purpose — 'Connecting for a better future,' Digital Inclusion, M-Pesa Financial Services — Vodafone Sustainable Business,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VOD Key Statistics: Forward P/E 11.67, D/E 95%, ROE -6.62%, Profit Margin -0.98%, Dividend Yield 3.24%,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