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VRTX</w:t>
      </w:r>
      <w:r>
        <w:rPr>
          <w:rFonts w:ascii="Calibri" w:hAnsi="Calibri"/>
          <w:b/>
          <w:color w:val="1A2010"/>
          <w:sz w:val="40"/>
        </w:rPr>
        <w:t xml:space="preserve">  Vertex Pharmaceuticals Incorporated</w:t>
      </w:r>
    </w:p>
    <w:p>
      <w:pPr>
        <w:spacing w:after="120"/>
      </w:pPr>
      <w:r>
        <w:rPr>
          <w:rFonts w:ascii="Calibri" w:hAnsi="Calibri"/>
          <w:b/>
          <w:color w:val="6E8450"/>
          <w:sz w:val="18"/>
        </w:rPr>
        <w:t>GROWTH SLEEVE · 2026-09-20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Vertex Pharmaceuticals discovers, develops, manufactures, and commercializes transformative medicines for serious diseases. The company dominates cystic fibrosis (CF) with TRIKAFTA/KAFTRIO and ALYFTREK generating approximately $12B+ annual revenue. Diversifying beyond CF with CASGEVY (first FDA-approved CRISPR gene therapy for sickle cell disease and transfusion-dependent beta thalassemia), JOURNAVX (first-in-class non-opioid pain treatment), and a deep pipeline spanning kidney disease, Type 1 Diabetes, and myotonic dystrophy. Q2 2026 revenue was $3.334B (+12.5% YoY) and full-year 2026 guidance raised to $13.1-13.2B. Founded in 1989, headquartered in Boston. Market cap approximately $129B.</w:t>
      </w:r>
    </w:p>
    <w:p>
      <w:r>
        <w:rPr>
          <w:rFonts w:ascii="Calibri" w:hAnsi="Calibri"/>
          <w:b/>
          <w:color w:val="6E8450"/>
          <w:sz w:val="18"/>
        </w:rPr>
        <w:t>6,400 Employees · https://www.vrtx.com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Vertex has launched multiple transformative products in the last 5 years — CASGEVY (first-ever FDA-approved CRISPR gene therapy for sickle cell disease, a historic scientific achievement), JOURNAVX (first-in-class non-opioid pain treatment addressing the opioid crisis), and ALYFTREK (next-gen CF triple combination therapy) [1]. These represent genuine business model transformation from a single-franchise CF company to a multi-platform rare disease leader generating $3.334B in Q2 2026 revenue (+12.5% YoY), with full-year guidance raised to $13.1-13.2B including $500M+ from non-CF products [1]. AI Deployment (0/2): No evidence of AI-powered products shipping to customers or quantified AI-driven cost savings. Drug discovery and development rely on traditional computational chemistry and clinical approaches. Market Share (2/2): Vertex dominates cystic fibrosis with approximately 90% global market share — Q2 2026 CF revenue driven by continued ALYFTREK and TRIKAFTA/KAFTRIO uptake [1]. The company defines the CF treatment category and has no meaningful competitor in CF modulator therapy. Product Pipeline (2/2): Specific next-gen programs include VX-522 (CF mRNA therapeutic, Phase 1/2), inaxaplin (APOL1-mediated kidney disease, Phase 2), VX-264 (Type 1 Diabetes cell therapy), VX-670 (myotonic dystrophy type 1), VX-407 (polycystic kidney disease), expanded CASGEVY indications, and additional JOURNAVX pain conditions — all with disclosed timelines and regulatory milestones [1]. R&amp;D Intensity (1/1): Combined 2026 non-GAAP operating expenses guided at $5.65-5.75B including substantial R&amp;D investment, well above biotech industry averages as a percentage of revenue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Vertex's stated purpose to 'invest in scientific innovation to create transformative medicines for people with serious diseases' is specific, thoughtful, and connects the company's work to a larger purpose beyond profit [3]. The 37-year focus on developing treatments for underserved patient populations — from founding through decades of unprofitability to CF market dominance — validates that the mission shapes strategic decisions. CASGEVY (gene therapy for sickle cell), JOURNAVX (non-opioid pain), and the kidney disease pipeline reflect mission-driven expansion into areas of genuine unmet need. Community Impact (1/2): Vertex Foundation funds science education and health equity programs. The company has committed to reducing GHG emissions 42% by 2032 (achieved 49% reduction since 2014), with 80% of building square footage green-certified [4]. Named to Forbes' World's Best Employers and Fortune 100 Best Companies to Work For 2025 [4]. General corporate philanthropy without a distinctive large-scale community investment. Employee Retention (1/2): Glassdoor reviews present a mixed picture — employees praise 'great colleagues,' strong compensation, and innovation-first approach, but cite micromanagement from C-suite, bureaucratic processes, and 'overwhelming sense of urgency' with workload rivaling management consulting [2]. Fortune 100 Best Companies designation suggests above-average retention, though site-level layoffs strain some teams.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Vertex demonstrates exceptional financial quality for large-cap biotech. D/E of 9.8% reflects a near-fortress balance sheet ($7.85B cash vs $1.98B debt) [5]. ROE of 23.5% exceeds the 15% target. Revenue growth YoY of 12.5% exceeds the 10% target, with full-year guidance raised to $13.1-13.2B (+8-9% YoY) [1]. Profit margin of 35.0% well above the 20% target. 5yr revenue CAGR of approximately 11% scores at target with 2x weight. The primary drags are Forward P/E of 25.25 (above the 20 target, scoring 0.87) and Forward PEG of 1.87 (2x weight, scoring 0.57), reflecting the premium valuation placed on CF dominance and pipeline optionality. Liquidity floor easily cleared: 1.43M avg volume x $508.34 = $724.9M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Vertex demonstrates strong infinite game characteristics through its 37-year commitment to transforming serious diseases, patient-first strategic decisions, and willingness to make decade-long R&amp;D bets that sacrificed near-term earnings for long-term capability. The company spent years developing CF treatments before achieving profitability, then expanded into gene therapy (CASGEVY) and non-opioid pain (JOURNAVX) — choices driven by unmet patient need rather than financial engineering. Leadership transitions from Joshua Boger to Jeffrey Leiden to Reshma Kewalramani have maintained remarkable strategic consistency. However, Glassdoor reports of micromanagement and bureaucratic culture suggest organizational trust may not match the leadership vision.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Vertex's purpose of creating transformative medicines for people with serious diseases is genuine and has been validated by consistent execution since 1989 [3]. The company spent over a decade in unprofitability pursuing CF treatments, then extended into gene therapy (CASGEVY) and pain (JOURNAVX) — strategic decisions that clearly trace to the patient-first mission rather than financial optimization. The purpose has survived three CEO transitions (Boger, Leiden, Kewalramani) with remarkable strategic consistency. However, the cause, while deeply thoughtful, lacks the iconic category-defining quality that earns 3/3 — it is excellent for biotech but not uniquely inspirational beyond the sector.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present a mixed picture — employees describe 'great colleagues,' strong compensation, and 'innovation-first approach,' but report that 'C-suite demands granular oversight in a way that stifles progress,' cite micromanagement, and describe an 'overwhelming sense of urgency' with workload 'rivaling management consulting' [2]. Fortune 100 Best Companies and Forbes World's Best Employers designations suggest the organization is above-average, but the reported management style suggests limited psychological safety for risk-taking at team level. Adequate trust but not the high-trust, empowered environment Sinek would identify as optimal.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Vertex's competitive language consistently focuses on advancing science for patients rather than beating specific competitors. Management regularly acknowledges the contributions of academic and corporate partners (CRISPR Therapeutics for CASGEVY) and frames competition as motivation to develop better treatments [1]. The company's approach to pain with JOURNAVX was explicitly framed as solving the opioid crisis for patients — not defeating analgesic competitors. This patient-oriented competitive framing reflects an improvement-oriented rather than destruction-oriented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Vertex has evolved meaningfully from a small-molecule drug discovery company to a CF franchise powerhouse, then expanded into entirely new therapeutic modalities — CRISPR gene therapy (CASGEVY), non-opioid pain (JOURNAVX), mRNA therapeutics (VX-522), and cell therapy (VX-264) [1]. This represents significant strategic adaptation and platform diversification. However, the core CF business continues to dominate revenue (~90% of total), and the expansion is additive rather than a transformative abandonment of what was working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Vertex has a clear pattern of courageous long-term bets — investing hundreds of millions in CF drug development through years of unprofitability before TRIKAFTA generated returns [1]. Committing to CRISPR gene therapy (CASGEVY) when the technology was unproven and regulatory pathways were unclear required genuine conviction. Entering the non-opioid pain market (JOURNAVX) against entrenched opioid alternatives was principled and risky. Under CEO Reshma Kewalramani, the company maintains $5.65B+ in annual operating expenses to fund next-gen pipeline while resisting pressure to maximize near-term margins — a consistent pattern of choosing long-term capability over short-term earnings across three leadership eras.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Vertex is the undisputed CF leader with ~90% global market share, Q2 2026 revenue of $3.334B (+12.5% YoY), and raised full-year guidance of $13.1-13.2B including $500M+ from non-CF products (CASGEVY and JOURNAVX) [1]. The company is successfully diversifying beyond CF with the first CRISPR gene therapy (CASGEVY for sickle cell disease), first-in-class non-opioid pain treatment (JOURNAVX), and next-gen CF therapy (ALYFTREK). D/E of 9.8%, ROE of 23.5%, profit margin of 35.0%, and gross margin of ~55% represent best-in-class financial quality for large-cap biotech [5]. The balance sheet holds $7.85B cash against $1.98B debt, and $2.6B annual free cash flow funds both pipeline investment and capital returns. CF patent protection extending through 2037+ provides long revenue visibility, while the multi-platform pipeline (gene editing, pain, kidney, diabetes, neuromuscular) creates optionality across therapeutic areas.</w:t>
      </w:r>
    </w:p>
    <w:p>
      <w:pPr>
        <w:spacing w:after="120"/>
      </w:pPr>
      <w:r>
        <w:rPr>
          <w:rFonts w:ascii="Calibri" w:hAnsi="Calibri"/>
          <w:b w:val="0"/>
          <w:color w:val="3A4A28"/>
          <w:sz w:val="20"/>
        </w:rPr>
        <w:t>The primary risk is premium valuation for a maturing franchise. At 25.25x forward P/E and PEG of 1.87, Vertex is priced for sustained double-digit growth that leaves limited margin for error [5]. Revenue growth of 12.5% is strong but reflects CF franchise maturation — achieving the $500M+ non-CF revenue target requires successful commercial execution of CASGEVY (complex cell-based therapy with authorized treatment center capacity constraints) and JOURNAVX (competitive pain market with established alternatives). The CF patent cliff approaching 2037 creates increasing pressure to prove non-CF revenue diversification at scale within the next decade. Glassdoor reviews citing C-suite micromanagement, bureaucratic processes, and site-level layoffs suggest organizational friction that could impair innovation velocity as Vertex scales beyond its CF comfort zone [2]. Historical executive compensation controversy (only 45% shareholder approval on advisory vote) signals governance tension [4]. The Inspire Impact Score of -75 (MISALIGNED) due to Embryonic Stem Cells and LGBT Activism attributions may limit allocation for faith-aligned investors despite extensive positive ESG practices across 19 dimensions.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Non-CF revenue exceeding $500M in 2026 from CASGEVY and JOURNAVX combined, validating Vertex's diversification strategy and demonstrating the company can build revenue streams beyond the CF franchise [1]</w:t>
      </w:r>
    </w:p>
    <w:p>
      <w:pPr>
        <w:spacing w:before="40" w:after="40"/>
        <w:ind w:left="283"/>
      </w:pPr>
      <w:r>
        <w:rPr>
          <w:rFonts w:ascii="Calibri" w:hAnsi="Calibri"/>
          <w:b/>
          <w:color w:val="4A6B25"/>
          <w:sz w:val="20"/>
        </w:rPr>
        <w:t xml:space="preserve">2. </w:t>
      </w:r>
      <w:r>
        <w:rPr>
          <w:rFonts w:ascii="Calibri" w:hAnsi="Calibri"/>
          <w:b w:val="0"/>
          <w:color w:val="3A4A28"/>
          <w:sz w:val="20"/>
        </w:rPr>
        <w:t>CASGEVY expansion into additional hematologic indications and geographic markets, with regulatory filings that expand the gene therapy platform's addressable patient population beyond initial SCD and TDT approvals</w:t>
      </w:r>
    </w:p>
    <w:p>
      <w:pPr>
        <w:spacing w:before="40" w:after="40"/>
        <w:ind w:left="283"/>
      </w:pPr>
      <w:r>
        <w:rPr>
          <w:rFonts w:ascii="Calibri" w:hAnsi="Calibri"/>
          <w:b/>
          <w:color w:val="4A6B25"/>
          <w:sz w:val="20"/>
        </w:rPr>
        <w:t xml:space="preserve">3. </w:t>
      </w:r>
      <w:r>
        <w:rPr>
          <w:rFonts w:ascii="Calibri" w:hAnsi="Calibri"/>
          <w:b w:val="0"/>
          <w:color w:val="3A4A28"/>
          <w:sz w:val="20"/>
        </w:rPr>
        <w:t>Pipeline readouts on VX-522 (CF mRNA therapeutic), inaxaplin (APOL1-mediated kidney disease), VX-264 (Type 1 Diabetes), and VX-670 (myotonic dystrophy type 1) that could open multi-billion dollar rare disease markets and reduce CF revenue concentration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25.25x forward P/E and PEG of 1.87 prices the stock for sustained high growth — any miss on the $13.1-13.2B revenue guidance or non-CF target would compress the multiple significantly [5]</w:t>
      </w:r>
    </w:p>
    <w:p>
      <w:pPr>
        <w:spacing w:before="40" w:after="40"/>
        <w:ind w:left="283"/>
      </w:pPr>
      <w:r>
        <w:rPr>
          <w:rFonts w:ascii="Calibri" w:hAnsi="Calibri"/>
          <w:b/>
          <w:color w:val="4A6B25"/>
          <w:sz w:val="20"/>
        </w:rPr>
        <w:t xml:space="preserve">2. </w:t>
      </w:r>
      <w:r>
        <w:rPr>
          <w:rFonts w:ascii="Calibri" w:hAnsi="Calibri"/>
          <w:b w:val="0"/>
          <w:color w:val="3A4A28"/>
          <w:sz w:val="20"/>
        </w:rPr>
        <w:t>CASGEVY commercial scaling is constrained by authorized treatment center capacity and the logistical complexity of cell-based therapy (patient cell harvesting, CRISPR editing, reinfusion), limiting near-term gene therapy revenue ramp</w:t>
      </w:r>
    </w:p>
    <w:p>
      <w:pPr>
        <w:spacing w:before="40" w:after="40"/>
        <w:ind w:left="283"/>
      </w:pPr>
      <w:r>
        <w:rPr>
          <w:rFonts w:ascii="Calibri" w:hAnsi="Calibri"/>
          <w:b/>
          <w:color w:val="4A6B25"/>
          <w:sz w:val="20"/>
        </w:rPr>
        <w:t xml:space="preserve">3. </w:t>
      </w:r>
      <w:r>
        <w:rPr>
          <w:rFonts w:ascii="Calibri" w:hAnsi="Calibri"/>
          <w:b w:val="0"/>
          <w:color w:val="3A4A28"/>
          <w:sz w:val="20"/>
        </w:rPr>
        <w:t>CF franchise maturation (12.5% growth) combined with patent cliff visibility approaching 2037 creates increasing pressure to prove non-CF revenue diversification at a scale sufficient to offset eventual CF revenue decline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Vertex's core business is structurally immune to AI disruption across every product category. CF treatment requires physical small-molecule drugs (TRIKAFTA, ALYFTREK) protected by FDA approval, manufacturing complexity, and patents extending through 2037+ [1]. CASGEVY involves harvesting patient stem cells, CRISPR gene editing, and reinfusion — a deeply physical, regulated, and individualized therapeutic process. JOURNAVX serves the non-opioid pain market where physician prescribing relationships and clinical trial data create structural moats. AI cannot produce, approve, distribute, or administer pharmaceutical drugs. The regulatory barriers alone (IND filing, Phase 1/2/3 trials, FDA review, post-marketing surveillance) create a multi-year, multi-billion-dollar moat that AI accelerates at the margin but cannot circumvent. AI Opportunity (0/1): No evidence of AI-generated revenue. Drug discovery uses traditional computational biology and clinical approaches. Vertex could potentially deploy AI in drug discovery acceleration, but no quantified revenue or savings are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Vertex Pharmaceuticals Q1 and Q2 2026 Financial Results — Q2 Revenue $3.334B (+12.5% YoY), Full-Year Guidance Raised to $13.1-13.2B, $500M+ Non-CF Revenue Target, GAAP Net Income $1.1B, May-July 2026</w:t>
      </w:r>
    </w:p>
    <w:p>
      <w:pPr>
        <w:spacing w:before="20" w:after="20"/>
        <w:ind w:left="170"/>
      </w:pPr>
      <w:r>
        <w:rPr>
          <w:rFonts w:ascii="Calibri" w:hAnsi="Calibri"/>
          <w:b/>
          <w:color w:val="4A6B25"/>
          <w:sz w:val="15"/>
        </w:rPr>
        <w:t xml:space="preserve">2. </w:t>
      </w:r>
      <w:r>
        <w:rPr>
          <w:rFonts w:ascii="Calibri" w:hAnsi="Calibri"/>
          <w:b w:val="0"/>
          <w:color w:val="3A4A28"/>
          <w:sz w:val="17"/>
        </w:rPr>
        <w:t>Glassdoor Employee Reviews — Vertex Pharmaceuticals Culture and Leadership: 'Innovation-first' but 'C-suite demands granular oversight,' Fortune 100 Best Companies, mixed micromanagement feedback,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Vertex Pharmaceuticals Corporate Website — Mission ('Transformative medicines for serious diseases'), Leadership (CEO Reshma Kewalramani, Chairman Jeffrey Leiden), Pipeline Programs,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Vertex Pharmaceuticals ESG and Environmental Sustainability — 42% GHG reduction target by 2032, 80% green-certified buildings, 45% say-on-pay advisory vote, Forbes/Fortune Best Employers,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VRTX Key Statistics: $508.34 price, 29.59x P/E, 25.25x forward P/E, PEG 1.87, D/E 9.8%, ROE 23.5%, Profit Margin 35.0%, $129B market cap,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