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VSH</w:t>
      </w:r>
      <w:r>
        <w:rPr>
          <w:rFonts w:ascii="Calibri" w:hAnsi="Calibri"/>
          <w:b/>
          <w:color w:val="1A2010"/>
          <w:sz w:val="40"/>
        </w:rPr>
        <w:t xml:space="preserve">  Vishay Intertechnology, Inc.</w:t>
      </w:r>
    </w:p>
    <w:p>
      <w:pPr>
        <w:spacing w:after="120"/>
      </w:pPr>
      <w:r>
        <w:rPr>
          <w:rFonts w:ascii="Calibri" w:hAnsi="Calibri"/>
          <w:b/>
          <w:color w:val="6E8450"/>
          <w:sz w:val="18"/>
        </w:rPr>
        <w:t>GROWTH SLEEVE · 2026-09-11 · Inspire: 59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Electronic Components · NYSE · United States</w:t>
      </w:r>
    </w:p>
    <w:p>
      <w:pPr>
        <w:spacing w:after="80"/>
      </w:pPr>
      <w:r>
        <w:rPr>
          <w:rFonts w:ascii="Calibri" w:hAnsi="Calibri"/>
          <w:b w:val="0"/>
          <w:color w:val="3A4A28"/>
          <w:sz w:val="20"/>
        </w:rPr>
        <w:t>Vishay Intertechnology, headquartered in Malvern, Pennsylvania, manufactures one of the world's largest portfolios of discrete semiconductors and passive electronic components (resistors, capacitors, inductors, diodes, MOSFETs) serving automotive, industrial, computing, consumer, telecom, military/aerospace, and medical markets [1][6]. Q2 2026 adjusted revenue reached a record $919 million, up 20.5% YoY, with a record book-to-bill ratio of 1.32 and backlog growing 18% to $1.9 billion, driven by broad-based demand including industrial (+30.1% YoY), aerospace/defense, and rapidly accelerating AI data center power applications [1][6].</w:t>
      </w:r>
    </w:p>
    <w:p>
      <w:r>
        <w:rPr>
          <w:rFonts w:ascii="Calibri" w:hAnsi="Calibri"/>
          <w:b/>
          <w:color w:val="6E8450"/>
          <w:sz w:val="18"/>
        </w:rPr>
        <w:t>22,610 Employees · https://www.vishay.com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Vishay's 'Vishay 3.0' strategic transformation, combined with new high-voltage MOSFET, polymer capacitor, power inductor, and optocoupler product launches for AI power management, opened a meaningful new AI-linked revenue stream and drove gross margin expansion to 24% one full quarter ahead of the original schedule [1][6]. AI Deployment (0/2): No evidence was found that Vishay itself deploys AI internally or ships AI-powered products; its role is as a component supplier to AI infrastructure builders, not an AI product company. Market Share (2/2): Management cited a supply advantage, capturing incremental AI-related business as supply-constrained competitors could not meet demand, with total AI data center exposure moving from 'under $100 million' in 2025 to 'well above that' and growing north of 20% [6]. Product Pipeline (2/2): Specific new products (high-voltage MOSFETs, current-sense resistors, power inductors, optocouplers) are named and tied to the AI power-management and data center growth trajectory with quantified guidance [6]. R&amp;D Intensity (0/1): No data was found showing Vishay's R&amp;D spend as a percentage of revenue exceeds industry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Vishay's mission — to 'enable tomorrow's innovations by providing today's engineers and inventors the ability to design solutions' using its component portfolio — clearly identifies its role and audience, but is standard component-supplier language without a deeper differentiated purpose [3]. Community Impact (0/2): No specific charitable programs or community investment with dollar figures were identified in research. Employee Retention (0/2): Vishay's overall culture is rated 'F (Bottom 5%)' on Comparably, a clear negative signal on employee sentiment and retention rather than evidence of a mission-driven, low-turnover workforce [2]. Insider Buying (0/2): Over the trailing 12 months, insiders bought a combined $253.57K while one insider sold $798.93K, a net insider-selling position rather than conviction buying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growth/prospect stock (dividend yield of 1.28% is below the 2% threshold for dividend-sleeve classification). Debt-to-Equity of 38% comfortably clears the 70% target (score 1.0), and Revenue Growth YoY of 20.5% (Q2 2026 record revenue) far exceeds the 10% target (capped at 1.0). However, Return on Equity of just 1.13% and Profit Margin of 0.86% both score near zero against 15% and 20% targets respectively, reflecting a business still working through elevated effective tax rates (33.7% in Q2, guided 35-40% in Q3) and heavy capacity-expansion capex that has pushed full-year 2026 free cash flow negative [1]. Forward P/E of 22.49 is modestly above the 20x target (score 0.94). Forward PEG and 5-year revenue CAGR were not available and were excluded from the weighted calculation. The stock clears the liquidity floor comfortably (~3.73M shares/day x $31.29 = ~$116.7M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Vishay operates as a conventional industrial component supplier optimizing for margin targets and capacity expansion to capture the AI infrastructure buildout, rather than as a company organized around a Sinek-style Just Cause. The 'Bottom 5%' Comparably culture rating is a meaningful red flag on organizational trust, and while management is making a real long-term capital bet (accepting negative 2026 free cash flow to expand capacity), there is little evidence of a purpose beyond enabling customer designs and executing the current AI demand cycle.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Vishay's mission to 'enable tomorrow's innovations' for engineers is a real but generic B2B component-supplier framing rather than a resilient, inclusive vision of a better future; no evidence was found of this specific language shaping major strategic decisions beyond routine product roadmap communication [3].</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Vishay's overall culture is rated 'F (Bottom 5%)' on Comparably, a specific and concerning signal of a low-trust environment, and no offsetting data on long tenure, low turnover, or employee empowerment was found to counter this [2].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Management's competitive commentary frames rivals' supply constraints as a market-share opportunity for Vishay to capture ('capturing incremental AI-related business' as competitors fall short) rather than acknowledging competitor strengths as motivation for self-improvement, which reads closer to a finite competitive posture [6].</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'Vishay 3.0' initiative and reorientation of the product roadmap toward AI power-management components (high-voltage MOSFETs, optocouplers, power inductors) represents a real adaptation to a new end market, but it remains within the same core passive/discrete component manufacturing business rather than a transformative reinvention of what the company does [1][6].</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Management is accepting negative full-year 2026 free cash flow to fund $300-350M of capacity expansion capex ahead of confirmed long-term demand, a genuine near-term financial sacrifice for long-term capability, though this is a single ongoing initiative rather than an established multi-cycle pattern of costly principled decisions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Vishay is a direct beneficiary of the AI infrastructure buildout without carrying AI valuation risk — Q2 2026 revenue hit a record $919 million (+20.5% YoY), the book-to-bill ratio hit a record 1.32, and backlog grew 18% to $1.9 billion (6.1 months of coverage), with management quantifying AI data center exposure moving from under $100 million to 'well above that' and growing north of 20% [1][6]. As a passive/discrete component manufacturer, Vishay's products (MOSFETs, capacitors, inductors, resistors) are structurally immune to AI substitution while directly benefiting from rising AI power-management content per data center rack. Gross margin expansion to 24% arrived a full quarter ahead of schedule, and a Forward P/E of 22.49 is reasonable against 20%+ forward revenue growth expectations from sell-side analysts.</w:t>
      </w:r>
    </w:p>
    <w:p>
      <w:pPr>
        <w:spacing w:after="120"/>
      </w:pPr>
      <w:r>
        <w:rPr>
          <w:rFonts w:ascii="Calibri" w:hAnsi="Calibri"/>
          <w:b w:val="0"/>
          <w:color w:val="3A4A28"/>
          <w:sz w:val="20"/>
        </w:rPr>
        <w:t>The bear case centers on weak current profitability and organizational quality: Return on Equity of just 1.13% and Profit Margin of 0.86% reflect a business only recently turning consistently profitable, compounded by elevated effective tax rates (33.7% in Q2, guided 35-40% in Q3) that are compressing bottom-line conversion of the strong top-line growth [1]. Full-year 2026 free cash flow is guided negative due to heavy capacity-expansion capex, and the dividend's 192.78% payout ratio is unsustainable against current earnings, creating a risk of a dividend cut if the AI demand cycle slows before capacity investments pay off. A 'Bottom 5%' Comparably culture rating and a finite-game strategic posture (weighted Infinite Game score of just 3/10) suggest limited organizational differentiation beyond the current cyclical AI tailwind, and a downturn in the broader semiconductor cycle — as seen in the 0.93 book-to-bill in Q3 2025 — could quickly reverse the current backlog momentum.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acceleration of AI data center power semiconductor demand, with management guiding the AI-exposed segment to grow north of 20% as total exposure moves well above the prior ~$100 million base [6]</w:t>
      </w:r>
    </w:p>
    <w:p>
      <w:pPr>
        <w:spacing w:before="40" w:after="40"/>
        <w:ind w:left="283"/>
      </w:pPr>
      <w:r>
        <w:rPr>
          <w:rFonts w:ascii="Calibri" w:hAnsi="Calibri"/>
          <w:b/>
          <w:color w:val="4A6B25"/>
          <w:sz w:val="20"/>
        </w:rPr>
        <w:t xml:space="preserve">2. </w:t>
      </w:r>
      <w:r>
        <w:rPr>
          <w:rFonts w:ascii="Calibri" w:hAnsi="Calibri"/>
          <w:b w:val="0"/>
          <w:color w:val="3A4A28"/>
          <w:sz w:val="20"/>
        </w:rPr>
        <w:t>Further gross margin expansion beyond the 24% Q3 2026 target as the higher-margin AI power product mix (MOSFETs, inductors, optocouplers) grows as a share of revenue [1][6]</w:t>
      </w:r>
    </w:p>
    <w:p>
      <w:pPr>
        <w:spacing w:before="40" w:after="40"/>
        <w:ind w:left="283"/>
      </w:pPr>
      <w:r>
        <w:rPr>
          <w:rFonts w:ascii="Calibri" w:hAnsi="Calibri"/>
          <w:b/>
          <w:color w:val="4A6B25"/>
          <w:sz w:val="20"/>
        </w:rPr>
        <w:t xml:space="preserve">3. </w:t>
      </w:r>
      <w:r>
        <w:rPr>
          <w:rFonts w:ascii="Calibri" w:hAnsi="Calibri"/>
          <w:b w:val="0"/>
          <w:color w:val="3A4A28"/>
          <w:sz w:val="20"/>
        </w:rPr>
        <w:t>Capacity expansion investments ($300-350M capex) coming online to convert the record $1.9 billion backlog into recognized revenue and improved free cash flow in 2027</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 cyclical semiconductor demand downturn — as seen in the 0.93 book-to-bill ratio in Q3 2025 — could quickly reverse the current record backlog and book-to-bill trend, given the industrial and AI end markets remain order-driven and capacity-sensitive [6]</w:t>
      </w:r>
    </w:p>
    <w:p>
      <w:pPr>
        <w:spacing w:before="40" w:after="40"/>
        <w:ind w:left="283"/>
      </w:pPr>
      <w:r>
        <w:rPr>
          <w:rFonts w:ascii="Calibri" w:hAnsi="Calibri"/>
          <w:b/>
          <w:color w:val="4A6B25"/>
          <w:sz w:val="20"/>
        </w:rPr>
        <w:t xml:space="preserve">2. </w:t>
      </w:r>
      <w:r>
        <w:rPr>
          <w:rFonts w:ascii="Calibri" w:hAnsi="Calibri"/>
          <w:b w:val="0"/>
          <w:color w:val="3A4A28"/>
          <w:sz w:val="20"/>
        </w:rPr>
        <w:t>Payout ratio of 192.78% on the current dividend is unsustainable against Return on Equity of 1.13% and Profit Margin of 0.86%, creating dividend-cut risk if profitability does not improve alongside revenue growth</w:t>
      </w:r>
    </w:p>
    <w:p>
      <w:pPr>
        <w:spacing w:before="40" w:after="40"/>
        <w:ind w:left="283"/>
      </w:pPr>
      <w:r>
        <w:rPr>
          <w:rFonts w:ascii="Calibri" w:hAnsi="Calibri"/>
          <w:b/>
          <w:color w:val="4A6B25"/>
          <w:sz w:val="20"/>
        </w:rPr>
        <w:t xml:space="preserve">3. </w:t>
      </w:r>
      <w:r>
        <w:rPr>
          <w:rFonts w:ascii="Calibri" w:hAnsi="Calibri"/>
          <w:b w:val="0"/>
          <w:color w:val="3A4A28"/>
          <w:sz w:val="20"/>
        </w:rPr>
        <w:t>Elevated and volatile effective tax rates (33.7% in Q2, guided 35-40% in Q3) tied to US taxation of foreign earnings are compressing net income conversion of strong revenue growth, and negative full-year 2026 free cash flow reduces balance sheet flexibility during the capacity build-out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Vishay's core business — manufacturing physical discrete semiconductors and passive electronic components — is structurally immune to AI substitution, and AI is directly increasing demand for its products rather than threatening them; management explicitly cited sustained demand for high-voltage MOSFETs, polymer capacitors, power inductors, and current-sense resistors used in AI power-management architectures for data centers [6]. This is the textbook 'picks and shovels' case the rubric identifies as maximally resilient — Vishay cannot be disrupted by the technology it is helping to power. AI Opportunity (1/1): CEO Joel Smejkal quantified total AI data center revenue exposure as moving from 'under $100 million' in 2025 to 'well above that' in 2026, with the AI-linked segment expected to grow 'north of 20%,' a specific, cited figure satisfying the tiebreaker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Vishay Intertechnology Reports First and Second Quarter 2026 Results — ir.vishay.com, June-August 2026</w:t>
      </w:r>
    </w:p>
    <w:p>
      <w:pPr>
        <w:spacing w:before="20" w:after="20"/>
        <w:ind w:left="170"/>
      </w:pPr>
      <w:r>
        <w:rPr>
          <w:rFonts w:ascii="Calibri" w:hAnsi="Calibri"/>
          <w:b/>
          <w:color w:val="4A6B25"/>
          <w:sz w:val="15"/>
        </w:rPr>
        <w:t xml:space="preserve">2. </w:t>
      </w:r>
      <w:r>
        <w:rPr>
          <w:rFonts w:ascii="Calibri" w:hAnsi="Calibri"/>
          <w:b w:val="0"/>
          <w:color w:val="3A4A28"/>
          <w:sz w:val="17"/>
        </w:rPr>
        <w:t>Comparably — Vishay Intertechnology Culture and Executive Team ratings,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Vishay Mission Statement — vishay.com/en/company/who-we-are/mission/,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StockTitan / MarketBeat / Nasdaq — VSH Form 4 insider trading activity, 2026</w:t>
      </w:r>
    </w:p>
    <w:p>
      <w:pPr>
        <w:spacing w:before="20" w:after="20"/>
        <w:ind w:left="170"/>
      </w:pPr>
      <w:r>
        <w:rPr>
          <w:rFonts w:ascii="Calibri" w:hAnsi="Calibri"/>
          <w:b/>
          <w:color w:val="4A6B25"/>
          <w:sz w:val="15"/>
        </w:rPr>
        <w:t xml:space="preserve">5. </w:t>
      </w:r>
      <w:r>
        <w:rPr>
          <w:rFonts w:ascii="Calibri" w:hAnsi="Calibri"/>
          <w:b w:val="0"/>
          <w:color w:val="3A4A28"/>
          <w:sz w:val="17"/>
        </w:rPr>
        <w:t>Can AI Demand Become a Meaningful Growth Engine for Vishay Stock? — Yahoo Finance/Zacks, 2026</w:t>
      </w:r>
    </w:p>
    <w:p>
      <w:pPr>
        <w:spacing w:before="20" w:after="20"/>
        <w:ind w:left="170"/>
      </w:pPr>
      <w:r>
        <w:rPr>
          <w:rFonts w:ascii="Calibri" w:hAnsi="Calibri"/>
          <w:b/>
          <w:color w:val="4A6B25"/>
          <w:sz w:val="15"/>
        </w:rPr>
        <w:t xml:space="preserve">6. </w:t>
      </w:r>
      <w:r>
        <w:rPr>
          <w:rFonts w:ascii="Calibri" w:hAnsi="Calibri"/>
          <w:b w:val="0"/>
          <w:color w:val="3A4A28"/>
          <w:sz w:val="17"/>
        </w:rPr>
        <w:t>Vishay's Strong Book-to-Bill Ratio and Margin Expansion Signal Positive Momentum — MarketChameleon, May 2026; VSH's $1.6B Backlog — TradingView/Zacks</w:t>
      </w:r>
    </w:p>
    <w:p>
      <w:pPr>
        <w:spacing w:before="20" w:after="20"/>
        <w:ind w:left="170"/>
      </w:pPr>
      <w:r>
        <w:rPr>
          <w:rFonts w:ascii="Calibri" w:hAnsi="Calibri"/>
          <w:b/>
          <w:color w:val="4A6B25"/>
          <w:sz w:val="15"/>
        </w:rPr>
        <w:t xml:space="preserve">7. </w:t>
      </w:r>
      <w:r>
        <w:rPr>
          <w:rFonts w:ascii="Calibri" w:hAnsi="Calibri"/>
          <w:b w:val="0"/>
          <w:color w:val="3A4A28"/>
          <w:sz w:val="17"/>
        </w:rPr>
        <w:t>stockanalysis.com — VSH Statistics &amp; Valuation page, accessed September 2026</w:t>
      </w:r>
    </w:p>
    <w:p>
      <w:pPr>
        <w:spacing w:before="20" w:after="20"/>
        <w:ind w:left="170"/>
      </w:pPr>
      <w:r>
        <w:rPr>
          <w:rFonts w:ascii="Calibri" w:hAnsi="Calibri"/>
          <w:b/>
          <w:color w:val="4A6B25"/>
          <w:sz w:val="15"/>
        </w:rPr>
        <w:t xml:space="preserve">8. </w:t>
      </w:r>
      <w:r>
        <w:rPr>
          <w:rFonts w:ascii="Calibri" w:hAnsi="Calibri"/>
          <w:b w:val="0"/>
          <w:color w:val="3A4A28"/>
          <w:sz w:val="17"/>
        </w:rPr>
        <w:t>Vishay Intertechnology Wikipedia / Vishay 2023 Sustainability Report — ESG governance structure and RBA membership</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