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VST</w:t>
      </w:r>
      <w:r>
        <w:rPr>
          <w:rFonts w:ascii="Calibri" w:hAnsi="Calibri"/>
          <w:b/>
          <w:color w:val="1A2010"/>
          <w:sz w:val="40"/>
        </w:rPr>
        <w:t xml:space="preserve">  Vistra Corp.</w:t>
      </w:r>
    </w:p>
    <w:p>
      <w:pPr>
        <w:spacing w:after="120"/>
      </w:pPr>
      <w:r>
        <w:rPr>
          <w:rFonts w:ascii="Calibri" w:hAnsi="Calibri"/>
          <w:b/>
          <w:color w:val="6E8450"/>
          <w:sz w:val="18"/>
        </w:rPr>
        <w:t>GROWTH SLEEVE · 2026-08-31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Independent Power Producers · NYSE · United States</w:t>
      </w:r>
    </w:p>
    <w:p>
      <w:pPr>
        <w:spacing w:after="80"/>
      </w:pPr>
      <w:r>
        <w:rPr>
          <w:rFonts w:ascii="Calibri" w:hAnsi="Calibri"/>
          <w:b w:val="0"/>
          <w:color w:val="3A4A28"/>
          <w:sz w:val="20"/>
        </w:rPr>
        <w:t>Vistra is the largest competitive power generator and integrated retail energy company in the United States, operating a diversified fleet of nuclear, natural gas, coal, solar, and battery storage assets totaling approximately 41,000 MW. Under CEO Jim Burke, the company has transformed from a coal-heavy utility into a clean-energy enabler of the AI-driven digital economy, anchored by nuclear baseload power. Q1 2026 revenue was $5.64B (+43% YoY), H1 2026 adjusted EBITDA was $3.26B, and full-year 2026 guidance is $6.8-7.6B adjusted EBITDA. Vistra launched Helix Digital Infrastructure with KKR, NVIDIA, and Kuwait Investment Authority, committing $1B to power AI data centers. Market cap approximately $46B.</w:t>
      </w:r>
    </w:p>
    <w:p>
      <w:r>
        <w:rPr>
          <w:rFonts w:ascii="Calibri" w:hAnsi="Calibri"/>
          <w:b/>
          <w:color w:val="6E8450"/>
          <w:sz w:val="18"/>
        </w:rPr>
        <w:t>6,500 Employees · https://www.vistracorp.com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Vistra has executed a transformative strategic pivot over the past 5 years, evolving from a legacy coal generator into the premier power supplier for AI data center infrastructure [1]. The company completed the Energy Harbor acquisition in 2024, adding Comanche Peak nuclear station and making Vistra the second-largest nuclear fleet operator in the US. In 2026, Vistra completed the Lotus acquisition (2,600 MW natural gas), entered agreements for Cogentrix Energy, and most transformatively, launched Helix Digital Infrastructure in partnership with KKR, NVIDIA, and Kuwait Investment Authority — a $1B commitment directly linking Vistra to the AI power demand surge [2]. AI Deployment (1/2): While Vistra is not an AI product company, it is deploying as critical AI infrastructure — the Helix Digital Infrastructure partnership with NVIDIA positions Vistra as a direct power supplier to AI data centers, and nuclear uprates at Comanche Peak are specifically designed to meet AI computing demand [2]. No internal AI-driven cost savings have been specifically quantified. Market Share (2/2): Vistra is the largest competitive power generator in the United States with ~41,000 MW of capacity and the largest retail electricity provider (TXU Energy, Dynegy). The company has reduced its share count by 30% since November 2021 through $6.5B in buybacks while simultaneously expanding generation capacity through acquisitions [1]. Product Pipeline (1/2): Nuclear capacity uprates at Comanche Peak and other facilities, Cogentrix acquisition expected to close late 2026 adding further gas generation, and Helix Digital Infrastructure development with specific $1B commitment provide near-term visibility, but long-term revenue from AI data center contracts remains in early stages [2]. R&amp;D Intensity (0/1): Power generation is not traditionally R&amp;D intensive; Vistra's innovation comes through strategic capital allocation and acquisitions rather than research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Vistra's implicit purpose — powering the transition to clean energy while enabling the digital economy — is clear and identifies what the company does and for whom. CEO Jim Burke's 'Burke Plan' articulates operational excellence, capital discipline, and the 'One Team' integration approach [2]. However, this reads more as business strategy than an inspiring purpose that exists beyond profit. The mission doesn't articulate a vision of a better future that transcends the company's commercial interests. Community Impact (0/2): Vistra has committed to net-zero emissions by 2050 and achieved 80% progress toward its 60% CO2 reduction target by 2030, primarily through coal plant retirements [3]. However, these are regulatory and strategic moves rather than charitable community investments. No specific charitable giving programs, foundation activities, or community development initiatives with dollar amounts were identified. Employee Retention (1/2): CEO Burke's 'One Team' approach to integrating the Energy Harbor, Lotus, and Cogentrix acquisitions suggests focus on organizational culture and employee engagement [2]. Leadership stability is strong — Burke has been CEO since 2022, after serving as CFO and COO. However, no specific voluntary turnover data, average tenure metrics, or employee engagement scores were available. Insider Buying (0/2): No evidence of meaningful net insider buying by executives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Growth-sleeve stock. Vistra demonstrates exceptional growth momentum with Q1 2026 revenue up 43% YoY, 5-year revenue CAGR of approximately 13%, and a forward PEG of 0.39 — all at or beyond target levels [1][4]. ROE of 42.96% more than doubles the 15% target, and forward P/E of 14.47 is comfortably below the 20x ceiling, reflecting strong earnings growth expectations. The primary drag is the highly leveraged capital structure with D/E of 373%, well above the 300% floor (scoring 0 on this metric), reflecting Vistra's aggressive acquisition strategy and the capital-intensive nature of power generation. Profit margin of 11.55% is below the 20% target but reasonable for a utility [4]. The stock easily clears the liquidity floor with average daily volume of 4.18M shares at $137.09 ($573M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Vistra demonstrates meaningful strategic evolution — transforming from a coal-heavy legacy utility into a nuclear-powered AI infrastructure company under CEO Jim Burke — but this transformation has been driven by market opportunity and shareholder value creation rather than a deeply held Just Cause. The 'Burke Plan' prioritizes capital discipline and shareholder returns ($6.5B in buybacks) over mission-driven purpose. The company's competitive language focuses on market leadership and financial returns rather than self-improvement through worthy rivals. However, the fleet transition from coal to nuclear/clean energy and the strategic courage to make large-scale acquisitions during industry uncertainty demonstrate some infinite-game qualities.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Vistra's strategic narrative — powering the clean energy transition to enable the AI-driven digital economy — is compelling but reads as an investment thesis rather than a Just Cause in Sinek's framework [2]. The company's public communications emphasize shareholder returns ($6.5B in buybacks, 30% share count reduction), capital allocation discipline, and EBITDA growth rather than advancing a vision of a better future. The environmental commitments (net-zero 2050, coal plant retirements) appear strategically motivated by economics and regulation rather than deeply held purpose. Leadership language consistently frames decisions through a financial lens rather than a cause lens.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Burke's 'One Team' approach to integrating multiple acquisitions (Energy Harbor 2024, Lotus 2026, Cogentrix pending) suggests genuine focus on organizational cohesion and employee engagement [2]. Burke's progression from CFO to COO to CEO demonstrates internal leadership development and continuity. The company has maintained operational excellence across a complex fleet of nuclear, gas, coal, solar, and battery assets, requiring significant cross-functional trust. However, no specific employee engagement scores, voluntary turnover data, or average tenure metrics were available to demonstrate trust levels above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Vistra's public communications focus on its position as the 'largest competitive power generator' and emphasize market leadership, acquisition strategy, and financial outperformance [2]. No management commentary was identified referencing competitors' strengths as motivation for self-improvement. The competitive framing is oriented toward dominance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Vistra has fundamentally reinvented itself within the past 5 years — transforming from a debt-laden, coal-heavy legacy utility (formerly TXU/Energy Future Holdings, which went through the largest leveraged buyout bankruptcy in history) into the premier nuclear-powered AI infrastructure company [1][2]. The company retired coal plants, acquired a nuclear fleet (Energy Harbor), pivoted to meet AI data center demand, and launched Helix Digital Infrastructure with NVIDIA. Each step required abandoning elements of the legacy business to pursue what the market demanded. This transformation is among the most dramatic strategic pivots in the utility sector's history, driven by market forces but executed with conviction.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Jim Burke has made several bold capital allocation decisions: $6.5B in share buybacks (reducing share count 30%), $1B commitment to Helix Digital Infrastructure with NVIDIA/KKR/KIA, and multiple large-scale acquisitions (Energy Harbor, Lotus, Cogentrix) that fundamentally repositioned the company [2][1]. The decision to accelerate nuclear capacity uprates to meet AI demand, while competitors hesitated, shows willingness to invest for long-term positioning. However, these decisions were financially motivated (high IRR, visible demand) rather than costly sacrifices of near-term results for long-term capability. Burke's capital allocation is excellent but not courageous in Sinek's sense — it's smart business, not self-sacrifice.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Vistra at 14.47x forward earnings with a 0.39 PEG ratio is arguably the best risk-reward play on the AI power demand supercycle — the company's nuclear fleet provides the only carbon-free, 24/7 baseload generation that AI data centers require, and the NVIDIA/KKR/Kuwait Investment Authority Helix partnership validates Vistra as essential AI infrastructure [2]. H1 2026 adjusted EBITDA of $3.26B already covers nearly half the full-year guidance midpoint of $7.2B, with Q2 adjusted EBITDA up 30% YoY to $1.77B [1]. ROE of 42.96% reflects exceptional capital efficiency, and the company has returned $6.5B to shareholders through buybacks since 2021 while simultaneously expanding generation capacity. The generation fleet is 100% hedged for 2026 and 94% for 2027, providing near-term earnings visibility, while the Inspire Impact Score of 40 (ALIGNED) with 14 positive attributions supports faith-based allocation. Full-year 2026 adjusted free cash flow guidance of $3.9-4.7B supports continued aggressive buybacks with ~$1.2B authorization remaining [1].</w:t>
      </w:r>
    </w:p>
    <w:p>
      <w:pPr>
        <w:spacing w:after="120"/>
      </w:pPr>
      <w:r>
        <w:rPr>
          <w:rFonts w:ascii="Calibri" w:hAnsi="Calibri"/>
          <w:b w:val="0"/>
          <w:color w:val="3A4A28"/>
          <w:sz w:val="20"/>
        </w:rPr>
        <w:t>The bear case centers on leverage, commodity exposure, and regulatory risk. D/E of 373% is exceptionally high, reflecting an aggressive acquisition strategy (Energy Harbor, Lotus, Cogentrix) financed substantially with debt — rising interest rates or a credit market disruption could pressure the capital structure [4]. Vistra retains significant coal/lignite generation assets that represent the 'substantial majority' of GHG emissions and face increasing regulatory and environmental risk [3]. The AI data center power demand narrative could decelerate if hyperscaler capex spending slows, AI model efficiency improvements reduce power requirements, or modular nuclear reactors from competitors become viable alternatives. Profit margin of 11.55% is structurally constrained by the capital-intensive utility business model. The Texas grid (ERCOT) remains Vistra's largest market and is subject to extreme weather volatility, regulatory intervention, and market design changes that could compress power pricing. Revenue growth of 43% in Q1 2026 is partially acquisition-driven and not sustainable organically. Previous incarnation as TXU Energy Future Holdings resulted in the largest leveraged buyout bankruptcy in US history, a cautionary precedent for the current leverage-fueled expansion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Helix Digital Infrastructure partnership with NVIDIA, KKR, and Kuwait Investment Authority ($1B Vistra commitment) positions the company at the center of the AI power demand supercycle, with potential for additional partnerships and long-term power purchase agreements as hyperscaler data center builds accelerate [2]</w:t>
      </w:r>
    </w:p>
    <w:p>
      <w:pPr>
        <w:spacing w:before="40" w:after="40"/>
        <w:ind w:left="283"/>
      </w:pPr>
      <w:r>
        <w:rPr>
          <w:rFonts w:ascii="Calibri" w:hAnsi="Calibri"/>
          <w:b/>
          <w:color w:val="4A6B25"/>
          <w:sz w:val="20"/>
        </w:rPr>
        <w:t xml:space="preserve">2. </w:t>
      </w:r>
      <w:r>
        <w:rPr>
          <w:rFonts w:ascii="Calibri" w:hAnsi="Calibri"/>
          <w:b w:val="0"/>
          <w:color w:val="3A4A28"/>
          <w:sz w:val="20"/>
        </w:rPr>
        <w:t>Nuclear capacity uprates at Comanche Peak and other facilities could add 300-500+ MW of carbon-free baseload generation at a fraction of the cost of new nuclear construction, directly serving premium-priced AI data center load [2]</w:t>
      </w:r>
    </w:p>
    <w:p>
      <w:pPr>
        <w:spacing w:before="40" w:after="40"/>
        <w:ind w:left="283"/>
      </w:pPr>
      <w:r>
        <w:rPr>
          <w:rFonts w:ascii="Calibri" w:hAnsi="Calibri"/>
          <w:b/>
          <w:color w:val="4A6B25"/>
          <w:sz w:val="20"/>
        </w:rPr>
        <w:t xml:space="preserve">3. </w:t>
      </w:r>
      <w:r>
        <w:rPr>
          <w:rFonts w:ascii="Calibri" w:hAnsi="Calibri"/>
          <w:b w:val="0"/>
          <w:color w:val="3A4A28"/>
          <w:sz w:val="20"/>
        </w:rPr>
        <w:t>Cogentrix Energy acquisition (FERC approved, expected late 2026) adds significant natural gas generation capacity, further diversifying the fleet and expanding dispatchable power supply to meet growing grid demand from data centers and electrification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373% creates significant financial risk — the aggressive acquisition strategy (Energy Harbor, Lotus, Cogentrix) requires sustained high power prices and EBITDA growth to service debt, and a power price downturn or failed integration could stress the capital structure as it did in the TXU bankruptcy [4]</w:t>
      </w:r>
    </w:p>
    <w:p>
      <w:pPr>
        <w:spacing w:before="40" w:after="40"/>
        <w:ind w:left="283"/>
      </w:pPr>
      <w:r>
        <w:rPr>
          <w:rFonts w:ascii="Calibri" w:hAnsi="Calibri"/>
          <w:b/>
          <w:color w:val="4A6B25"/>
          <w:sz w:val="20"/>
        </w:rPr>
        <w:t xml:space="preserve">2. </w:t>
      </w:r>
      <w:r>
        <w:rPr>
          <w:rFonts w:ascii="Calibri" w:hAnsi="Calibri"/>
          <w:b w:val="0"/>
          <w:color w:val="3A4A28"/>
          <w:sz w:val="20"/>
        </w:rPr>
        <w:t>Coal/lignite generation assets remain a material ESG and regulatory liability — Vistra's emissions are the 'substantial majority' from fossil fuel plants, and accelerating carbon regulations, potential carbon taxes, or forced retirements could impair asset values and increase compliance costs [3]</w:t>
      </w:r>
    </w:p>
    <w:p>
      <w:pPr>
        <w:spacing w:before="40" w:after="40"/>
        <w:ind w:left="283"/>
      </w:pPr>
      <w:r>
        <w:rPr>
          <w:rFonts w:ascii="Calibri" w:hAnsi="Calibri"/>
          <w:b/>
          <w:color w:val="4A6B25"/>
          <w:sz w:val="20"/>
        </w:rPr>
        <w:t xml:space="preserve">3. </w:t>
      </w:r>
      <w:r>
        <w:rPr>
          <w:rFonts w:ascii="Calibri" w:hAnsi="Calibri"/>
          <w:b w:val="0"/>
          <w:color w:val="3A4A28"/>
          <w:sz w:val="20"/>
        </w:rPr>
        <w:t>AI data center power demand thesis could reverse if hyperscaler capex spending decelerates, AI model efficiency improvements (smaller, more efficient models) reduce power requirements, or distributed energy alternatives (on-site fuel cells, modular nuclear) reduce reliance on grid-scale utility power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Vistra is not merely immune to AI disruption — AI structurally and massively increases demand for Vistra's core product: reliable, 24/7 electricity [2]. AI data centers require enormous amounts of baseload power, and Vistra's nuclear fleet provides the only carbon-free, continuously available generation source capable of meeting high-uptime requirements. The company IS AI infrastructure — the physical foundation upon which AI computing operates. The NVIDIA/KKR/Kuwait Investment Authority partnership on Helix Digital Infrastructure validates that the world's leading AI chipmaker views Vistra as essential AI supply chain [2]. Analysts widely characterize Vistra as a primary beneficiary of the 'AI power crunch,' with power demand from data centers projected to grow 2-3x by 2030. Physical power generation assets — nuclear plants, gas turbines, transmission infrastructure — cannot be replicated or disrupted by software. AI Opportunity (1/1): Vistra generates meaningful and growing AI-related revenue through direct power supply contracts to data centers, the Helix Digital Infrastructure partnership with NVIDIA ($1B commitment), and nuclear capacity uprates specifically targeting AI computing load [2]. The 2026 guidance of $6.8-7.6B adjusted EBITDA reflects substantial AI-driven demand premium in power pricing.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Vistra Q2 2026 Earnings Release — H1 Revenue $9.66B, H1 Adjusted EBITDA $3.26B, Q2 Net Income $305M, FY2026 Guidance $6.8-7.6B EBITDA, Cogentrix FERC Approval, August 2026</w:t>
      </w:r>
    </w:p>
    <w:p>
      <w:pPr>
        <w:spacing w:before="20" w:after="20"/>
        <w:ind w:left="170"/>
      </w:pPr>
      <w:r>
        <w:rPr>
          <w:rFonts w:ascii="Calibri" w:hAnsi="Calibri"/>
          <w:b/>
          <w:color w:val="4A6B25"/>
          <w:sz w:val="15"/>
        </w:rPr>
        <w:t xml:space="preserve">2. </w:t>
      </w:r>
      <w:r>
        <w:rPr>
          <w:rFonts w:ascii="Calibri" w:hAnsi="Calibri"/>
          <w:b w:val="0"/>
          <w:color w:val="3A4A28"/>
          <w:sz w:val="17"/>
        </w:rPr>
        <w:t>Vistra AI Strategy — Helix Digital Infrastructure with KKR/NVIDIA/KIA ($1B Commitment), Nuclear Uprates, Energy Harbor/Lotus/Cogentrix Acquisitions, CEO Jim Burke Leadership, PR Newswire/FinancialContent, 2024-2026</w:t>
      </w:r>
    </w:p>
    <w:p>
      <w:pPr>
        <w:spacing w:before="20" w:after="20"/>
        <w:ind w:left="170"/>
      </w:pPr>
      <w:r>
        <w:rPr>
          <w:rFonts w:ascii="Calibri" w:hAnsi="Calibri"/>
          <w:b/>
          <w:color w:val="4A6B25"/>
          <w:sz w:val="15"/>
        </w:rPr>
        <w:t xml:space="preserve">3. </w:t>
      </w:r>
      <w:r>
        <w:rPr>
          <w:rFonts w:ascii="Calibri" w:hAnsi="Calibri"/>
          <w:b w:val="0"/>
          <w:color w:val="3A4A28"/>
          <w:sz w:val="17"/>
        </w:rPr>
        <w:t>Vistra ESG Profile — CDP Response, Net-Zero 2050 Commitment, 60% CO2 Reduction by 2030 (80% Progress), Coal Plant Retirements, Governance Structure,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VST Key Statistics: Forward P/E 14.47x, PEG 0.39, ROE 42.96%, D/E 373%, Profit Margin 11.55%, Stock Price $137.09,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