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VTRS</w:t>
      </w:r>
      <w:r>
        <w:rPr>
          <w:rFonts w:ascii="Calibri" w:hAnsi="Calibri"/>
          <w:b/>
          <w:color w:val="1A2010"/>
          <w:sz w:val="40"/>
        </w:rPr>
        <w:t xml:space="preserve">  Viatris Inc.</w:t>
      </w:r>
    </w:p>
    <w:p>
      <w:pPr>
        <w:spacing w:after="120"/>
      </w:pPr>
      <w:r>
        <w:rPr>
          <w:rFonts w:ascii="Calibri" w:hAnsi="Calibri"/>
          <w:b/>
          <w:color w:val="6E8450"/>
          <w:sz w:val="18"/>
        </w:rPr>
        <w:t>DIVIDEND SLEEVE · 2026-10-14 · Inspire: -62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45</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Drug Manufacturers - Specialty &amp; Generic · NASDAQ · United States</w:t>
      </w:r>
    </w:p>
    <w:p>
      <w:pPr>
        <w:spacing w:after="80"/>
      </w:pPr>
      <w:r>
        <w:rPr>
          <w:rFonts w:ascii="Calibri" w:hAnsi="Calibri"/>
          <w:b w:val="0"/>
          <w:color w:val="3A4A28"/>
          <w:sz w:val="20"/>
        </w:rPr>
        <w:t>Viatris Inc. is a global pharmaceutical company formed in November 2020 from the combination of Mylan N.V. and Pfizer's Upjohn division. The company develops, manufactures, and distributes a broad portfolio of generic, branded generic, complex generic, and biosimilar medicines across more than 165 countries under brands including Lipitor, Celebrex, Viagra, EpiPen, and Creon. Q2 2026 delivered $3.8B revenue (+5% YoY) with raised FY2026 guidance to ~$14.75B revenue and $2.52 adjusted EPS. CEO Scott Smith leads the Phase 2 strategic plan targeting 5-6% revenue CAGR through 2030.</w:t>
      </w:r>
    </w:p>
    <w:p>
      <w:r>
        <w:rPr>
          <w:rFonts w:ascii="Calibri" w:hAnsi="Calibri"/>
          <w:b/>
          <w:color w:val="6E8450"/>
          <w:sz w:val="18"/>
        </w:rPr>
        <w:t>30,000 Employees · https://www.viatris.com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Viatris has executed portfolio rationalization since its 2020 formation — divesting biosimilar assets to Biocon, selling global rights to Tyrvaya, and refocusing on complex generics and branded products in Developed Markets and Greater China [1]. Q2 2026 revenue grew 5% YoY driven by new Developed Markets products and Greater China, and H1 2026 total revenue reached $7.27B (+6%). However, these are restructuring moves and geographic optimization, not transformative product innovation or market pivots. AI Deployment (0/2): No AI-powered products shipping, no quantified AI-driven cost savings, and no AI strategy articulated by management in earnings calls or public communications [2]. Market Share (1/2): Viatris is a top-5 global generic pharmaceutical company by revenue with presence in 165+ countries and approximately $14.75B in FY2026 guided revenue [1]. However, revenue has declined from $17.3B in 2021 through divestitures and competitive pressure, suggesting share loss. Pipeline (1/2): FY2026 targets $450-550M in new product revenues, with Gwyn Lo approved and complex generic and biosimilar candidates in development; Greater China growth of 3.5%+ operational provides visibility, but specific next-gen launch timelines remain limited versus branded pharma peers [1]. R&amp;D Intensity (1/1): R&amp;D spending is at industry average for generic pharmaceutical companies, with ongoing investment in complex generic formulations and biosimilar development programs.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Viatris's purpose — 'empowering people worldwide to live healthier at every stage of life' via Access, Leadership, and Partnership — is clear and connects the company's work to improving global health outcomes through affordable medicine access [3]. The mission is specific to healthcare but does not rise above what most generic pharma companies articulate, and strategic decisions (divestitures, financial targets) are framed in financial terms rather than tracing back to the mission. Community Impact (1/2): Viatris provides essential medicines across 165+ countries at affordable prices with particular impact in developing markets, and is a UN Global Compact signatory with sustainability governance through a Board-level Governance and Sustainability Committee [3]. However, no distinctive charitable programs with specific dollar amounts or community investment initiatives were identified. Employee Retention (0/2): Glassdoor reviews reveal a top-down culture with 'noticeably low employee morale,' 'constructive feedback is not encouraged,' and 'a general sense of fear and job insecurity across levels' [2]. CEO Scott Smith has 77% approval, but culture and values rating of 3.4/5 and specific complaints about 'lack of vision and growth' signal below-average engagement. Insider Buying (0/2): Chief Accounting Officer Paul Campbell sold shares via Rule 10b5-1 plan in 2026; no meaningful net insider buying by executives was identified [2].</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Dividend stock on core and dividend metrics. Forward P/E of 6.45x scores perfectly (1.0), reflecting deep value pricing at $17.25 on $2.67 forward EPS [4]. D/E of 95.5% (score 0.89) reflects ongoing deleveraging from post-merger peaks, with gross leverage declining to 2.9x. Revenue growth YoY of 4.9% (score 0.83) shows continued recovery, with H1 2026 revenue of $7.27B (+6%) and raised guidance to $14.75B [1]. The critical drags: GAAP ROE of -2.8% (score 0.0) and GAAP net margin of -2.8% (score 0.0), reflecting non-cash impairment charges and the $119M Q2 loss from Tyrvaya-related write-downs that mask adjusted profitability [1]. 5yr revenue CAGR of approximately -4% (score 0.07) reflects structural shrinkage through divestitures. Dividend profile: payout ratio of ~19% on adjusted EPS (score 1.0), 6 consecutive years paid (score 0.60, 2x weight), 1 consecutive year of growth (score 0.10), and 5yr dividend growth CAGR of ~1.8% (score 0.30, 2x weight) reflect the company's short and flat dividend history at $0.48/year. Liquidity: ~$160M daily dollar volume easily clears the floor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Viatris plays a fundamentally finite game — the company exists primarily as a financial optimization vehicle born from the Mylan-Upjohn merger, focused on deleveraging, cost synergies, and shareholder returns rather than advancing a cause. CEO Smith's 2030 vision is framed entirely in financial terms (5-6% revenue CAGR, 9-10% EPS CAGR) with no articulated vision of a better future [1]. Glassdoor reviews reveal a top-down, fear-based culture with low morale, signaling a low-trust organization optimizing for quarterly performance rather than building for endurance [2]. Portfolio divestitures show some strategic flexibility but are driven by financial logic rather than purpose.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Viatris's mission to 'empower people worldwide to live healthier' is genuine social good — providing affordable medicines across 165 countries — but reads as a generic pharma mission statement interchangeable with any competitor [3]. Strategic decisions (divesting biosimilar assets, selling Tyrvaya, targeting specific CAGR metrics) are driven by financial optimization. Leadership doesn't reference the mission in strategic communications; the 2030 vision is entirely financial. The Just Cause is shallow in Sinek's framework.</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Glassdoor reviews reveal a low-trust environment with 'communication feels very top-down,' 'constructive feedback is not encouraged,' and 'a general sense of fear and job insecurity across levels' [2]. Employee morale is described as 'noticeably low' with reviews citing 'inexperienced managers who don't support you' and 'lack of vision and growth.' CEO Smith has 77% approval, but the culture and values rating of 3.4/5 signals organizational malaise from ongoing restructuring and transformation.</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Viatris competes in generic pharmaceuticals primarily on pricing, regulatory speed, and distribution breadth, with competitive language focused on portfolio breadth and cost efficiency rather than learning from rivals [1]. Strategic framing centers on financial targets and market positioning rather than acknowledging competitors' strengths.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Viatris has evolved its business model through portfolio rationalization — divesting biosimilar rights to Biocon, selling Tyrvaya, and refocusing on complex generics and branded products in Developed Markets and Greater China [1]. These are meaningful strategic shifts that demonstrate flexibility. However, they are incremental adaptations to financial pressures and competitive dynamics rather than a transformative reinvention driven by a Just Cause.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Smith has pursued difficult decisions including settling opioid litigation, executing multiple divestitures (Tyrvaya, biosimilars), and aggressive deleveraging to 2.9x gross leverage while maintaining the $0.48 annual dividend [1]. Raising FY2026 guidance despite Q2 supply challenges and a $119M GAAP loss signals confidence in the strategy. However, these are necessary survival moves for a post-merger restructuring rather than courageous long-term bets that sacrifice short-term earnings for future capability.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Viatris at $17.25 and 6.45x forward earnings offers deep value in a global pharmaceutical company generating ~$14.75B in guided FY2026 revenue across 165+ countries with a 2.78% dividend yield [1][4]. Q2 2026 delivered $3.8B revenue (+5% YoY) with adjusted EBITDA of $1.2B (+8% operational), and management raised all guidance midpoints for revenue, EBITDA, EPS, and free cash flow. H1 2026 revenue of $7.27B (+6%) demonstrates sustained recovery [1]. The balance sheet is improving with gross leverage declining to 2.9x, and the adjusted EPS guidance of $2.52 implies a payout ratio of only 19%, providing substantial dividend coverage and free cash flow for continued deleveraging and buybacks. Greater China growth and new product revenues targeting $450-550M provide geographic and pipeline diversification beyond mature U.S. generics.</w:t>
      </w:r>
    </w:p>
    <w:p>
      <w:pPr>
        <w:spacing w:after="120"/>
      </w:pPr>
      <w:r>
        <w:rPr>
          <w:rFonts w:ascii="Calibri" w:hAnsi="Calibri"/>
          <w:b w:val="0"/>
          <w:color w:val="3A4A28"/>
          <w:sz w:val="20"/>
        </w:rPr>
        <w:t>The bear case centers on structural decline, GAAP losses, and cultural challenges. Despite positive adjusted metrics, GAAP net loss of $119M in Q2 2026 reflects ongoing impairment charges and Tyrvaya write-downs that mask persistent profitability issues — ROE of -2.8% and profit margin of -2.8% indicate the underlying business generates inadequate GAAP returns [1][4]. Revenue has declined from $17.3B (2021) to ~$14.75B (2026E), with 5yr CAGR of approximately -4% reflecting structural shrinkage through divestitures and generic pricing pressure. The PEG of 3.19 suggests the market prices in only ~2% operational growth, making the forward PE of 6.45x less compelling than it appears. Glassdoor reviews describing a top-down culture with low morale, fear-based management, and 3.4/5 culture rating create talent retention risk critical for complex generics development [2]. The Inspire Impact Score of -62 (MISALIGNED) due to abortifacient product exposure limits allocation for faith-based investors. U.S. generics face 5-10% annual pricing deflation, creating persistent headwinds in the Developed Markets segment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Revenue inflection sustained: H1 2026 revenue of $7.27B (+6% YoY) with raised full-year guidance to ~$14.75B and $2.52 adjusted EPS, driven by new product revenues targeting $450-550M and strong Greater China growth [1]</w:t>
      </w:r>
    </w:p>
    <w:p>
      <w:pPr>
        <w:spacing w:before="40" w:after="40"/>
        <w:ind w:left="283"/>
      </w:pPr>
      <w:r>
        <w:rPr>
          <w:rFonts w:ascii="Calibri" w:hAnsi="Calibri"/>
          <w:b/>
          <w:color w:val="4A6B25"/>
          <w:sz w:val="20"/>
        </w:rPr>
        <w:t xml:space="preserve">2. </w:t>
      </w:r>
      <w:r>
        <w:rPr>
          <w:rFonts w:ascii="Calibri" w:hAnsi="Calibri"/>
          <w:b w:val="0"/>
          <w:color w:val="3A4A28"/>
          <w:sz w:val="20"/>
        </w:rPr>
        <w:t>Deleveraging acceleration: Gross leverage declining to 2.9x from post-merger peaks, targeting sub-2.5x by 2028, which could unlock investment-grade ratings upgrades and meaningfully reduce $600M+ annual interest expense [1]</w:t>
      </w:r>
    </w:p>
    <w:p>
      <w:pPr>
        <w:spacing w:before="40" w:after="40"/>
        <w:ind w:left="283"/>
      </w:pPr>
      <w:r>
        <w:rPr>
          <w:rFonts w:ascii="Calibri" w:hAnsi="Calibri"/>
          <w:b/>
          <w:color w:val="4A6B25"/>
          <w:sz w:val="20"/>
        </w:rPr>
        <w:t xml:space="preserve">3. </w:t>
      </w:r>
      <w:r>
        <w:rPr>
          <w:rFonts w:ascii="Calibri" w:hAnsi="Calibri"/>
          <w:b w:val="0"/>
          <w:color w:val="3A4A28"/>
          <w:sz w:val="20"/>
        </w:rPr>
        <w:t>2030 strategic plan targets 5-6% revenue CAGR and 9-10% adjusted EPS CAGR, which if achieved would re-rate the stock from the current 6.45x forward P/E toward the generic pharma peer average of 10-12x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Persistent GAAP losses from impairment charges create a growing adjusted-to-GAAP reconciliation gap — Q2 2026 posted $119M net loss despite positive adjusted metrics, raising earnings quality concerns behind the 6.45x forward multiple [1]</w:t>
      </w:r>
    </w:p>
    <w:p>
      <w:pPr>
        <w:spacing w:before="40" w:after="40"/>
        <w:ind w:left="283"/>
      </w:pPr>
      <w:r>
        <w:rPr>
          <w:rFonts w:ascii="Calibri" w:hAnsi="Calibri"/>
          <w:b/>
          <w:color w:val="4A6B25"/>
          <w:sz w:val="20"/>
        </w:rPr>
        <w:t xml:space="preserve">2. </w:t>
      </w:r>
      <w:r>
        <w:rPr>
          <w:rFonts w:ascii="Calibri" w:hAnsi="Calibri"/>
          <w:b w:val="0"/>
          <w:color w:val="3A4A28"/>
          <w:sz w:val="20"/>
        </w:rPr>
        <w:t>U.S. generics pricing pressure with 5-10% annual deflation in mature generic categories threatens the Developed Markets segment, and the 5yr revenue CAGR of -4% demonstrates ongoing structural shrinkage that new products have not yet fully offset [1][4]</w:t>
      </w:r>
    </w:p>
    <w:p>
      <w:pPr>
        <w:spacing w:before="40" w:after="40"/>
        <w:ind w:left="283"/>
      </w:pPr>
      <w:r>
        <w:rPr>
          <w:rFonts w:ascii="Calibri" w:hAnsi="Calibri"/>
          <w:b/>
          <w:color w:val="4A6B25"/>
          <w:sz w:val="20"/>
        </w:rPr>
        <w:t xml:space="preserve">3. </w:t>
      </w:r>
      <w:r>
        <w:rPr>
          <w:rFonts w:ascii="Calibri" w:hAnsi="Calibri"/>
          <w:b w:val="0"/>
          <w:color w:val="3A4A28"/>
          <w:sz w:val="20"/>
        </w:rPr>
        <w:t>Low-trust corporate culture with top-down management, fear-based environment, and 3.4/5 Glassdoor rating creates talent flight risk, particularly for scientists and regulatory experts critical to complex generics development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Viatris's core business — manufacturing and distributing generic and branded pharmaceuticals across 165+ countries — operates in a heavily regulated industry where AI cannot replace physical drug production, FDA/EMA regulatory approval processes, GMP manufacturing, or global distribution infrastructure [1]. ANDA filings, established supply chain relationships across 165 countries, and decades of regulatory expertise create structural barriers that AI cannot circumvent. However, AI-driven drug discovery tools could accelerate generic competition by reducing development timelines for complex generics, and AI-powered pharmacy benefit management could further compress generic pricing margins. Scored 7 rather than 8 because AI tools are beginning to reshape pharmaceutical development timelines, which could pressure Viatris's complex generics advantage [2]. AI Opportunity (0/1): Viatris does not generate AI-related revenue. No AI-powered products are shipping, and while the $650M cost savings program may incorporate automation, no specific AI-driven revenue or quantified AI efficiency gains have been disclosed.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-62</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Abortifacients </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Viatris Q2 2026 Earnings Release — Revenue $3.8B (+5% YoY), H1 Revenue $7.27B (+6%), GAAP Net Loss $119M (Tyrvaya Charge), Raised FY2026 Guidance to $14.75B Revenue/$2.52 Adjusted EPS, SEC 8-K, August 2026</w:t>
      </w:r>
    </w:p>
    <w:p>
      <w:pPr>
        <w:spacing w:before="20" w:after="20"/>
        <w:ind w:left="170"/>
      </w:pPr>
      <w:r>
        <w:rPr>
          <w:rFonts w:ascii="Calibri" w:hAnsi="Calibri"/>
          <w:b/>
          <w:color w:val="4A6B25"/>
          <w:sz w:val="15"/>
        </w:rPr>
        <w:t xml:space="preserve">2. </w:t>
      </w:r>
      <w:r>
        <w:rPr>
          <w:rFonts w:ascii="Calibri" w:hAnsi="Calibri"/>
          <w:b w:val="0"/>
          <w:color w:val="3A4A28"/>
          <w:sz w:val="17"/>
        </w:rPr>
        <w:t>Viatris Leadership and Culture — CEO Scott Smith (77% Glassdoor Approval), 3.7/5 Overall Rating, 3.4/5 Culture Rating, Top-Down Culture Criticism, Insider Selling, Glassdoor, 2025-2026</w:t>
      </w:r>
    </w:p>
    <w:p>
      <w:pPr>
        <w:spacing w:before="20" w:after="20"/>
        <w:ind w:left="170"/>
      </w:pPr>
      <w:r>
        <w:rPr>
          <w:rFonts w:ascii="Calibri" w:hAnsi="Calibri"/>
          <w:b/>
          <w:color w:val="4A6B25"/>
          <w:sz w:val="15"/>
        </w:rPr>
        <w:t xml:space="preserve">3. </w:t>
      </w:r>
      <w:r>
        <w:rPr>
          <w:rFonts w:ascii="Calibri" w:hAnsi="Calibri"/>
          <w:b w:val="0"/>
          <w:color w:val="3A4A28"/>
          <w:sz w:val="17"/>
        </w:rPr>
        <w:t>Viatris ESG and Mission — 'Empowering People Worldwide to Live Healthier,' UN Global Compact Signatory, Sustainalytics Medium Risk (25.4), Board Governance Committee, 2024-2026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VTRS Price $17.25, Forward P/E 6.45, PEG 3.19, D/E 95.5%, ROE -2.8%, Dividend Yield 2.78%, Avg Volume 9.3M, Market Cap $19.8B,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