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VTR</w:t>
      </w:r>
      <w:r>
        <w:rPr>
          <w:rFonts w:ascii="Calibri" w:hAnsi="Calibri"/>
          <w:b/>
          <w:color w:val="1A2010"/>
          <w:sz w:val="40"/>
        </w:rPr>
        <w:t xml:space="preserve">  Ventas, Inc.</w:t>
      </w:r>
    </w:p>
    <w:p>
      <w:pPr>
        <w:spacing w:after="120"/>
      </w:pPr>
      <w:r>
        <w:rPr>
          <w:rFonts w:ascii="Calibri" w:hAnsi="Calibri"/>
          <w:b/>
          <w:color w:val="6E8450"/>
          <w:sz w:val="18"/>
        </w:rPr>
        <w:t>DIVIDEND SLEEVE · 2026-09-05 · Inspire: 58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Healthcare Facilities · NYSE · United States</w:t>
      </w:r>
    </w:p>
    <w:p>
      <w:pPr>
        <w:spacing w:after="80"/>
      </w:pPr>
      <w:r>
        <w:rPr>
          <w:rFonts w:ascii="Calibri" w:hAnsi="Calibri"/>
          <w:b w:val="0"/>
          <w:color w:val="3A4A28"/>
          <w:sz w:val="20"/>
        </w:rPr>
        <w:t>Ventas, Inc. is an S&amp;P 500 real estate investment trust (REIT) focused on the longevity economy, owning and managing a diversified portfolio of approximately 1,450 properties in North America and the United Kingdom, including more than 900 senior housing communities, outpatient medical buildings, and research centers. The world's second-largest owner of senior housing, Ventas has a market capitalization exceeding $40B and has been led by Chairman and CEO Debra Cafaro since 1999 [1]. Full year 2025 normalized FFO reached $3.48/share (+9%), with 2026 guidance of $3.83 midpoint (+8%), and Q2 2026 revenue up 21.7% YoY to $1.72B with FFO growing 24.7% [1][2].</w:t>
      </w:r>
    </w:p>
    <w:p>
      <w:r>
        <w:rPr>
          <w:rFonts w:ascii="Calibri" w:hAnsi="Calibri"/>
          <w:b/>
          <w:color w:val="6E8450"/>
          <w:sz w:val="18"/>
        </w:rPr>
        <w:t>600 Employees · https://www.ventasreit.com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Ventas has strategically repositioned its portfolio toward senior housing, completing $2.5B in acquisitions during 2025 including the $540M Revel acquisition, and set a $3B investment target for 2026 with $800M+ already deployed in senior housing [1]. However, the core REIT model of owning and leasing healthcare properties has not fundamentally changed. AI Deployment (0/2): Ventas operates a proprietary data analytics platform (Ventas OI) to drive operational performance and innovation across its portfolio, but no specific AI-driven products, quantified cost savings, or revenue generated from AI have been publicly reported [3]. Market Share (1/2): Ventas is the world's second-largest owner of senior housing with approximately 1,450 properties and 900+ senior housing communities, a meaningful competitive position though it trails Welltower in total senior housing assets [1]. Product Pipeline (1/2): Investment guidance raised to $3B for 2026 focused on senior housing acquisitions, providing clear capital deployment pipeline with specific targets, though this is acquisition-driven rather than organic development [1]. R&amp;D Intensity (0/1): REITs have no R&amp;D function; capital deployment serves a similar role but does not qualify as innovation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Ventas frames itself as 'enabling exceptional environments that benefit a large and growing aging population,' connecting its business to the demographic purpose of supporting aging with dignity in the longevity economy [3]. This is specific to its sector and more purposeful than most REITs, but it does not articulate a transformative vision of the future. Community Impact (2/2): Eight-time Nareit Leader in the Light Award winner recognizing sustainability and responsible business practices, and Ventas became the first healthcare REIT to commit to net-zero operational carbon emissions (Scopes 1 and 2) by 2040 with property-specific decarbonization roadmaps and a 20% water efficiency reduction target by 2030 [4]. Employee Retention (1/2): Debra Cafaro's 27-year tenure as CEO is exceptional — growing market cap from $200M to over $40B and named one of the Top 100 Best-Performing CEOs in the World for six consecutive years (Harvard Business Review) and one of the 100 Most Influential People in Healthcare six times [3]. However, no broader employee retention data is available for the ~600-person corporate team. Insider Buying (0/2): Insiders purchased 36.8K shares ($2.4M) versus selling 60.5K shares ($3.9M) over the past 3 months, indicating net insider selling despite some meaningful purchases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the Dividend formula. Note: REIT GAAP metrics structurally penalize this scoring framework — P/FFO of ~24x is more meaningful than forward PE of 148.17, and FFO-based payout of ~53% is more accurate than GAAP payout of 342% [5]. Revenue growth is strong at 21.7% YoY in Q2 2026 driven by SHOP same-store cash NOI growth of 15% and occupancy improvement, and 5-year revenue CAGR of ~10% benefits from COVID recovery tailwinds [1][2]. D/E of 100% is manageable for a REIT with $12.79B total debt against a diversified portfolio of 1,450+ properties. Consecutive years paid of 25+ (dividend maintained through COVID, though reduced) provides the strongest positive metric at 2x weight. The primary drags are: forward PE of 148.17 scoring 0 (a GAAP artifact), GAAP payout ratio of 342% scoring 0, and 5-year dividend growth CAGR of -9.10% (reflecting the COVID-era cut from $3.17/year to $1.80/year, now recovering with an 8% increase announced in 2026) scoring 0 at 2x weight [5]. The stock easily clears the liquidity floor with ~$354M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Ventas under Debra Cafaro demonstrates several hallmarks of infinite game play: a 27-year leadership tenure that has navigated the GFC, COVID, and interest rate cycles; a genuine connection to the purpose of serving the aging population; and courageous capital allocation including $2.5B deployed in 2025 and $3B targeted for 2026 during an uncertain rate environment. The commitment to net-zero carbon by 2040 and eight Leader in the Light awards reflect long-term orientation. However, net insider selling and lack of evidence for a worthy rivals mindset constrain the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Ventas' focus on the 'longevity economy' and 'enabling exceptional environments for the growing aging population' connects its business to a demographic purpose that transcends quarterly returns [3]. Under Cafaro's 27-year leadership, the company has consistently oriented toward seniors' housing needs through the GFC, COVID, and interest rate cycles, and the strategic repositioning from skilled nursing to senior housing and research centers reflects purposeful portfolio evolution aligned with this mission. However, the cause has not been tested through transformative sacrifice, and the REIT structure inherently prioritizes financial returns and dividend distributions.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Cafaro's 27-year tenure — recognized by Harvard Business Review as one of the Top 100 Best-Performing CEOs six consecutive years — suggests a stable, trusted leadership environment [3]. The company culture emphasizes 'smart and energetic professionals committed to their goals and each other.' However, the REIT's lean corporate structure (~600 employees) with significant property-level operations managed by third-party operators creates organizational distance. Less than half of Ventas properties are under direct operational control, with performance dependent on operators like Sunrise Senior Living.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Ventas competes directly with Welltower (the largest senior housing REIT) but there is no public evidence of the company framing this competition as a source of self-improvement. Competitive language focuses on being the 'second-largest owner of senior housing' and emphasizes its own operational platform (Ventas OI) rather than acknowledging what Welltower does better or using the rivalry to elevate its own capabilities.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Ventas has meaningfully evolved its portfolio composition over the past decade, reducing exposure to lower-quality skilled nursing facilities and increasing allocation to senior housing operating partnerships (SHOP) and research centers [1]. The strategic pivot toward senior housing during sector distress, including $2.5B in acquisitions in 2025 and $3B target for 2026, represents adaptive capital allocation. However, the company has never abandoned a core business or made a transformative pivot that fundamentally redefined what Ventas is — it has always been a healthcare REIT.</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Cafaro has demonstrated a consistent pattern of courageous leadership over 27 years: investing aggressively in senior housing during sector downturns when others retreated ($2.5B deployed in 2025, $3B target for 2026), maintaining the dividend through COVID when operators faced existential challenges, committing to net-zero carbon emissions by 2040 as the first healthcare REIT to do so, and raising investment guidance to $3B during interest rate uncertainty [1][4]. The annualized TSR of ~19% since 2000 validates these long-term bets. Deploying $800M+ in early 2026 at a time of macroeconomic uncertainty demonstrates conviction over caution.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Ventas is a premier play on the aging demographics thesis with Q2 2026 revenue up 21.7% YoY to $1.72B, FFO growing 24.7%, and full-year 2025 normalized FFO of $3.48/share (+9%) [1][2]. The 2026 guidance of $3.83 FFO/share midpoint (+8%) marks a fifth consecutive year of strong SHOP performance, driven by 15% same-store cash NOI growth and occupancy improvement. The $3B investment pipeline for 2026 and $2.5B deployed in 2025 position Ventas to capitalize on the senior housing supply-demand imbalance as the 80+ population grows 4% annually while new construction remains constrained. Eight-time Nareit Leader in the Light winner with net-zero carbon commitment by 2040 and Inspire Insight ALIGNED score of 58 make this a strong values-aligned holding for faith-based investors [4]. Dividend yield of 2.43% with an 8% increase in 2026 signals management confidence in continued FFO growth.</w:t>
      </w:r>
    </w:p>
    <w:p>
      <w:pPr>
        <w:spacing w:after="120"/>
      </w:pPr>
      <w:r>
        <w:rPr>
          <w:rFonts w:ascii="Calibri" w:hAnsi="Calibri"/>
          <w:b w:val="0"/>
          <w:color w:val="3A4A28"/>
          <w:sz w:val="20"/>
        </w:rPr>
        <w:t>The bear case reflects REIT structural challenges in this scoring framework: GAAP forward PE of 148.17 and payout ratio of 342% are misleading artifacts of depreciation-heavy REIT accounting, where P/FFO of ~24x and FFO-based payout of ~53% are the correct valuation metrics [5]. One analyst notes 'senior housing growth appears priced in' at current levels. The 5-year dividend growth CAGR of -9.10% reflects the COVID-era cut from $3.17/year to $1.80/year, and the dividend remains below pre-pandemic levels despite the recent 8% increase. Net insider selling ($3.9M sold vs. $2.4M bought over 3 months) raises questions about management conviction at current valuations [5]. D/E of 100% and $12.79B total debt create sensitivity to interest rate movements, and refinancing risk could compress FFO if rates remain elevated. The REIT's operational model depends heavily on third-party operators for the majority of its ~1,450 properties, creating operator concentration risk for labor costs, occupancy, and care quality.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Senior housing occupancy recovery continuing with SHOP same-store cash NOI growing 15% and occupancy improving 310bps YoY, with structural tailwinds as the 80+ population grows 4% annually against constrained new supply [1]</w:t>
      </w:r>
    </w:p>
    <w:p>
      <w:pPr>
        <w:spacing w:before="40" w:after="40"/>
        <w:ind w:left="283"/>
      </w:pPr>
      <w:r>
        <w:rPr>
          <w:rFonts w:ascii="Calibri" w:hAnsi="Calibri"/>
          <w:b/>
          <w:color w:val="4A6B25"/>
          <w:sz w:val="20"/>
        </w:rPr>
        <w:t xml:space="preserve">2. </w:t>
      </w:r>
      <w:r>
        <w:rPr>
          <w:rFonts w:ascii="Calibri" w:hAnsi="Calibri"/>
          <w:b w:val="0"/>
          <w:color w:val="3A4A28"/>
          <w:sz w:val="20"/>
        </w:rPr>
        <w:t>Investment guidance raised to $3B for 2026 focused on senior housing acquisitions with $800M+ already deployed in early 2026, scaling the portfolio during a favorable acquisition environment with elevated cap rates [1][2]</w:t>
      </w:r>
    </w:p>
    <w:p>
      <w:pPr>
        <w:spacing w:before="40" w:after="40"/>
        <w:ind w:left="283"/>
      </w:pPr>
      <w:r>
        <w:rPr>
          <w:rFonts w:ascii="Calibri" w:hAnsi="Calibri"/>
          <w:b/>
          <w:color w:val="4A6B25"/>
          <w:sz w:val="20"/>
        </w:rPr>
        <w:t xml:space="preserve">3. </w:t>
      </w:r>
      <w:r>
        <w:rPr>
          <w:rFonts w:ascii="Calibri" w:hAnsi="Calibri"/>
          <w:b w:val="0"/>
          <w:color w:val="3A4A28"/>
          <w:sz w:val="20"/>
        </w:rPr>
        <w:t>Q2 2026 FFO growth of 24.7% YoY and normalized FFO guidance of $3.83/share midpoint reflect accelerating earnings momentum, with dividend restored at an 8% increase signaling management confidence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REIT leverage with $12.79B total debt and D/E of 100% creates sensitivity to interest rate movements, and refinancing risk could compress FFO growth if rates remain elevated or rise further</w:t>
      </w:r>
    </w:p>
    <w:p>
      <w:pPr>
        <w:spacing w:before="40" w:after="40"/>
        <w:ind w:left="283"/>
      </w:pPr>
      <w:r>
        <w:rPr>
          <w:rFonts w:ascii="Calibri" w:hAnsi="Calibri"/>
          <w:b/>
          <w:color w:val="4A6B25"/>
          <w:sz w:val="20"/>
        </w:rPr>
        <w:t xml:space="preserve">2. </w:t>
      </w:r>
      <w:r>
        <w:rPr>
          <w:rFonts w:ascii="Calibri" w:hAnsi="Calibri"/>
          <w:b w:val="0"/>
          <w:color w:val="3A4A28"/>
          <w:sz w:val="20"/>
        </w:rPr>
        <w:t>5-year dividend growth CAGR of -9.10% (COVID cut impact) and current yield of 2.43% still below pre-pandemic levels may discourage income-oriented investors seeking reliable dividend growth track records [5]</w:t>
      </w:r>
    </w:p>
    <w:p>
      <w:pPr>
        <w:spacing w:before="40" w:after="40"/>
        <w:ind w:left="283"/>
      </w:pPr>
      <w:r>
        <w:rPr>
          <w:rFonts w:ascii="Calibri" w:hAnsi="Calibri"/>
          <w:b/>
          <w:color w:val="4A6B25"/>
          <w:sz w:val="20"/>
        </w:rPr>
        <w:t xml:space="preserve">3. </w:t>
      </w:r>
      <w:r>
        <w:rPr>
          <w:rFonts w:ascii="Calibri" w:hAnsi="Calibri"/>
          <w:b w:val="0"/>
          <w:color w:val="3A4A28"/>
          <w:sz w:val="20"/>
        </w:rPr>
        <w:t>Operator concentration risk as less than half of Ventas properties are under direct operational control — performance depends on third-party operators managing labor costs, occupancy, and care quality across ~1,450 properties, and U.S. healthcare faces significant AI-driven labor substitution risk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Senior housing communities, outpatient medical buildings, and research centers are physical-world assets that AI structurally cannot displace. The aging demographics driving demand for senior housing are biological, not technological — the Baby Boom generation aging into the 80+ population creates irreversible demand for physical care environments [1]. Healthcare delivery requires in-person clinical interaction and licensed facilities that cannot be replaced by digital alternatives. AI is acknowledged as a risk factor in healthcare operations (labor substitution, cybersecurity), but Ventas's role as a property owner rather than care operator insulates it from direct disruption [3]. AI may even increase demand for research center properties as life sciences companies deploy AI to accelerate drug discovery. AI Opportunity (0/1): Ventas generates no AI-related revenue. The Ventas OI data analytics platform supports internal operations but is not a revenue-generating AI product.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Ventas Q4 2025 and Full Year 2025 Results — Normalized FFO $3.48/share (+9%), $2.5B Acquisitions, SHOP NOI +15%, 2026 Guidance $3.83 Midpoint — ventasreit.com, February 2026</w:t>
      </w:r>
    </w:p>
    <w:p>
      <w:pPr>
        <w:spacing w:before="20" w:after="20"/>
        <w:ind w:left="170"/>
      </w:pPr>
      <w:r>
        <w:rPr>
          <w:rFonts w:ascii="Calibri" w:hAnsi="Calibri"/>
          <w:b/>
          <w:color w:val="4A6B25"/>
          <w:sz w:val="15"/>
        </w:rPr>
        <w:t xml:space="preserve">2. </w:t>
      </w:r>
      <w:r>
        <w:rPr>
          <w:rFonts w:ascii="Calibri" w:hAnsi="Calibri"/>
          <w:b w:val="0"/>
          <w:color w:val="3A4A28"/>
          <w:sz w:val="17"/>
        </w:rPr>
        <w:t>Ventas Q2 2026 Earnings — Revenue $1.72B (+21.7% YoY), FFO +24.7% YoY, $3B Investment Target, Dividend Increased 8% — Motley Fool Transcript, July 2026</w:t>
      </w:r>
    </w:p>
    <w:p>
      <w:pPr>
        <w:spacing w:before="20" w:after="20"/>
        <w:ind w:left="170"/>
      </w:pPr>
      <w:r>
        <w:rPr>
          <w:rFonts w:ascii="Calibri" w:hAnsi="Calibri"/>
          <w:b/>
          <w:color w:val="4A6B25"/>
          <w:sz w:val="15"/>
        </w:rPr>
        <w:t xml:space="preserve">3. </w:t>
      </w:r>
      <w:r>
        <w:rPr>
          <w:rFonts w:ascii="Calibri" w:hAnsi="Calibri"/>
          <w:b w:val="0"/>
          <w:color w:val="3A4A28"/>
          <w:sz w:val="17"/>
        </w:rPr>
        <w:t>Ventas Corporate Website, Nareit Profile, CEO Debra Cafaro (27-Year Tenure) — Ventas OI Platform, Healthcare AI Risk, ~1,450 Properties,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Ventas Sustainability and ESG — Eight-Time Nareit Leader in the Light, Net-Zero 2040, Decarbonization Roadmaps, Water Efficiency Targets — ventasreit.com, 2024-2026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Simply Wall St — VTR Key Statistics: Stock Price $91.92, Forward P/E 148.17, D/E 100%, ROE 2.16%, Profit Margin 4.24%, Dividend Yield 2.43%, Avg Volume 3.85M, Insider Activity,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