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WBS</w:t>
      </w:r>
      <w:r>
        <w:rPr>
          <w:rFonts w:ascii="Calibri" w:hAnsi="Calibri"/>
          <w:b/>
          <w:color w:val="1A2010"/>
          <w:sz w:val="40"/>
        </w:rPr>
        <w:t xml:space="preserve">  Webster Financial Corporation</w:t>
      </w:r>
    </w:p>
    <w:p>
      <w:pPr>
        <w:spacing w:after="120"/>
      </w:pPr>
      <w:r>
        <w:rPr>
          <w:rFonts w:ascii="Calibri" w:hAnsi="Calibri"/>
          <w:b/>
          <w:color w:val="6E8450"/>
          <w:sz w:val="18"/>
        </w:rPr>
        <w:t>DIVIDEND SLEEVE · 2026-08-31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Webster Financial is a leading Northeast regional bank with more than $80 billion in assets, operating through Webster Bank. Founded in 1935 (82-year history), the company has had only three CEOs and holds the highest possible 'Outstanding' Community Reinvestment Act (CRA) rating. Webster provides personal banking, business banking, and commercial banking services, with particular strength in commercial real estate and specialty finance. The company is being acquired by Banco Santander in a cash and stock transaction, with shareholder and key regulatory approvals received and closing expected in H2 2026. Q2 2026 revenue was $740M with net income of $249.4M ($1.56 diluted EPS).</w:t>
      </w:r>
    </w:p>
    <w:p>
      <w:r>
        <w:rPr>
          <w:rFonts w:ascii="Calibri" w:hAnsi="Calibri"/>
          <w:b/>
          <w:color w:val="6E8450"/>
          <w:sz w:val="18"/>
        </w:rPr>
        <w:t>4,100 Employees · https://www.websterbank.com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Webster completed the transformative Sterling Bancorp merger in 2022, effectively doubling the bank's asset base from approximately $35B to over $70B and creating a top-25 US regional bank with enhanced commercial lending capabilities [1]. This was a successfully executed business model transformation that opened new revenue streams in commercial banking, specialty finance, and asset-based lending. However, no additional significant product launches or strategic pivots have occurred since the Sterling integration. AI Deployment (0/2): CIO Vikram Nafde oversees AI strategy including business applications, software engineering, and artificial intelligence initiatives, but no AI-powered products shipping to customers or specific AI-driven cost savings have been reported [2]. The bank is in exploration phase for AI, typical for mid-size regional banking. Market Share (1/2): Webster is a meaningful player in Northeast commercial banking with $80B+ in assets and $57.9B in loans, but it is not a category leader — significantly smaller than JPMorgan, Bank of America, and other money-center banks [1]. Within the Connecticut-to-New York commercial banking corridor, Webster has built a strong niche. Product Pipeline (0/2): The pending Santander acquisition eliminates any independent product roadmap. No specific next-generation banking products or digital innovation platforms have been announced with timelines. R&amp;D Intensity (0/1): Banking is not traditionally R&amp;D intensive; Webster's technology spending appears at or near industry average for a regional bank of its size.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Webster's culture is centered on values of 'responsibility, respectfulness, trustworthiness, citizenship and teamwork,' which are clear and consistently referenced but not deeply distinctive — these could describe most well-run regional banks [2]. The company identifies itself as a community-focused institution with an 82-year heritage, but no transformative purpose statement connecting the bank's work to a vision beyond serving customers and communities was identified. Community Impact (1/2): Webster holds the 'Outstanding' CRA rating from the Office of the Comptroller of the Currency — the highest possible rating, reflecting excellent performance in community development lending, affordable housing, and serving low-to-moderate income communities [3]. The Conference Board has featured Webster's approach to 'serving community and shareholders alike.' However, specific charitable giving dollar amounts or distinctive community programs were not quantified. Employee Retention (1/2): Only 3 CEOs in 82 years represents extraordinary leadership continuity — CEO John Ciulla is only the third CEO since 1935, suggesting deep institutional culture. 'Strong banker engagement survey results' are cited in corporate communications [2]. However, no specific rank-and-file voluntary turnover rates, average employee tenure, or retention data were available. Insider Buying (0/2): No evidence of meaningful net insider buying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Dividend-sleeve stock. Webster demonstrates an exceptional financial profile across nearly all metrics: D/E of 8.3% dramatically below the 70% target (reflecting a bank's equity-financed balance sheet), forward P/E of 11.63 well below the 20x ceiling, profit margin of 34.57% far exceeding the 20% target, and payout ratio of 25.97% providing ample dividend coverage at nearly half the 40% target [4][1]. The dividend profile is outstanding with 16 consecutive years of increases, 16+ consecutive years of payments, and a 5-year dividend growth CAGR of approximately 6%, all at or above targets. Revenue growth YoY of approximately 10% meets the 10% target. The only meaningful drag is ROE of 10.68%, below the 15% target but reasonable for a well-capitalized regional bank. The stock clears the liquidity floor with 10-day average volume of 5.33M shares at $78.87 ($420M daily turnover)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Webster displays meaningful infinite-game qualities through its extraordinary leadership continuity (3 CEOs in 82 years), strong community values evidenced by the highest CRA rating, and engaged organizational culture. However, the pending Santander acquisition is the ultimate finite-game outcome — selling the institution rather than playing to keep playing. The Sterling Bancorp merger in 2022 demonstrated strategic courage and existential flexibility, but the decision to sell to Santander suggests that the long-term independent cause — community-focused banking in the Northeast — was ultimately subordinated to shareholder value extraction. Sinek would view this as a company that built a strong culture but chose to cash it in.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Webster's implicit cause — community-focused banking serving the Northeast for 82 years — is genuine but shallow in Sinek's framework. The values of 'responsibility, respectfulness, trustworthiness, citizenship and teamwork' and the 'Outstanding' CRA rating reflect real community commitment [3]. However, the pending sale to Banco Santander fundamentally contradicts the Just Cause — a company that is selling itself is choosing to stop playing rather than to keep playing. Whatever purpose animated Webster's 82-year independent history is now being exchanged for a cash-and-stock acquisition premium. The Just Cause, if it existed, was not strong enough to prevent the board from choosing financial optimization over continued independent existence.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Webster demonstrates exceptional organizational trust through its extraordinary leadership continuity — only 3 CEOs in 82 years, with CEO John Ciulla succeeding through a multi-year leadership succession planning process in 2018 [2]. This level of leadership stability is virtually unprecedented in American banking and reflects deep institutional trust, effective governance, and a culture where leaders are developed internally rather than imported. 'Strong banker engagement survey results' provide additional evidence [2]. The values-based culture (responsibility, respectfulness, trustworthiness, citizenship, teamwork) and 'Outstanding' CRA performance suggest an organization where employees feel aligned with the institution's purpose. The successful integration of Sterling Bancorp — a complex merger that doubled the bank's size — required high levels of cross-organizational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in Webster's public communications. The company's narrative focuses on its own strengths — 'Outstanding' CRA rating, successful Sterling integration, commercial lending growth — rather than acknowledging competitors' strengths or learning from rivals [1]. The decision to sell to Santander rather than compete independently suggests a finite assessment of competitive position rather than a growth-oriented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Sterling Bancorp merger in 2022 was a significant strategic pivot — transforming Webster from a $35B community bank into an $80B+ commercial banking powerhouse, entering new markets and business lines (specialty finance, asset-based lending) [1]. This willingness to fundamentally change the bank's scale and identity demonstrates meaningful flexibility. The pending Santander acquisition represents another major transformation, though it ends independent existence rather than reinventing it. No evidence of flexibility driven by a Just Cause — the changes appear motivated by scale economics and shareholder value.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John Ciulla demonstrated courage in executing the Sterling Bancorp merger during a period of banking sector uncertainty, making a large-scale bet that doubled the institution's size and required significant integration risk [1]. The decision to maintain the 'Outstanding' CRA commitment while scaling commercially suggests willingness to invest in community beyond what's required. Dividend growth through 16 consecutive years, including through the 2020 pandemic and 2023 banking crisis, shows financial discipline. However, the decision to sell to Santander rather than invest for long-term independent growth represents the opposite of Sinek's Courage to Lead — choosing the certain exit over the uncertain but potentially greater long-term path.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Webster at 11.63x forward earnings with a pending Santander acquisition offers a unique risk/reward profile — the stock trades as a merger arbitrage play with the acquisition premium providing downside support while ongoing operations deliver solid fundamentals [1]. Q2 2026 EPS of $1.56 on revenue of $740M demonstrates continued operational execution even during the merger process, with net interest income of $632.7M supported by $57.9B in loans (+$4.2B YoY). The infrastructure profile is exceptional: D/E of 8.3%, payout ratio of 25.97%, 16 consecutive years of dividend growth, and profit margin of 34.57% — among the strongest financial profiles in regional banking [4]. The Inspire Impact Score of 47 (ALIGNED) with 12 positive attributions and no negatives provides strong faith-alignment characteristics, complemented by the 'Outstanding' CRA rating and 82-year community banking heritage [3].</w:t>
      </w:r>
    </w:p>
    <w:p>
      <w:pPr>
        <w:spacing w:after="120"/>
      </w:pPr>
      <w:r>
        <w:rPr>
          <w:rFonts w:ascii="Calibri" w:hAnsi="Calibri"/>
          <w:b w:val="0"/>
          <w:color w:val="3A4A28"/>
          <w:sz w:val="20"/>
        </w:rPr>
        <w:t>The bear case is dominated by acquisition risk and limited upside. With the Santander deal expected to close H2 2026, the stock's upside is capped at the deal price — Webster is no longer an independent growth story but a merger arbitrage with binary risk (deal closes or breaks) [1]. If the deal breaks, the stock would likely fall significantly as Webster would need to re-establish forward guidance, investor confidence, and a standalone growth narrative. NIM compression from 3.44% to 3.26% YoY suggests underlying earnings pressure that was masked by loan growth ($4.2B) [1]. ROE of 10.68% trails the 15% target and is below top-tier regional bank peers, reflecting the challenge of generating adequate returns on an $80B+ asset base. Innovation score of 3 reflects limited product differentiation — Webster is a well-run but conventional regional bank without distinctive technology or digital banking capabilities. The 5-year revenue CAGR of ~15% is almost entirely acquisition-driven (Sterling Bancorp merger), not organic growth. Post-acquisition, Webster's community-focused culture and 'Outstanding' CRA commitments may be diluted within the larger Santander global banking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closing of the Banco Santander acquisition in H2 2026 would deliver the deal premium to shareholders and provide certainty of value, with key regulatory approvals already received [1]</w:t>
      </w:r>
    </w:p>
    <w:p>
      <w:pPr>
        <w:spacing w:before="40" w:after="40"/>
        <w:ind w:left="283"/>
      </w:pPr>
      <w:r>
        <w:rPr>
          <w:rFonts w:ascii="Calibri" w:hAnsi="Calibri"/>
          <w:b/>
          <w:color w:val="4A6B25"/>
          <w:sz w:val="20"/>
        </w:rPr>
        <w:t xml:space="preserve">2. </w:t>
      </w:r>
      <w:r>
        <w:rPr>
          <w:rFonts w:ascii="Calibri" w:hAnsi="Calibri"/>
          <w:b w:val="0"/>
          <w:color w:val="3A4A28"/>
          <w:sz w:val="20"/>
        </w:rPr>
        <w:t>Continued commercial loan growth ($4.2B YoY to $57.9B) driven by CRE and specialty finance could deliver upside to Q3/Q4 2026 earnings, potentially supporting a higher deal valuation or standalone value if the merger breaks [1]</w:t>
      </w:r>
    </w:p>
    <w:p>
      <w:pPr>
        <w:spacing w:before="40" w:after="40"/>
        <w:ind w:left="283"/>
      </w:pPr>
      <w:r>
        <w:rPr>
          <w:rFonts w:ascii="Calibri" w:hAnsi="Calibri"/>
          <w:b/>
          <w:color w:val="4A6B25"/>
          <w:sz w:val="20"/>
        </w:rPr>
        <w:t xml:space="preserve">3. </w:t>
      </w:r>
      <w:r>
        <w:rPr>
          <w:rFonts w:ascii="Calibri" w:hAnsi="Calibri"/>
          <w:b w:val="0"/>
          <w:color w:val="3A4A28"/>
          <w:sz w:val="20"/>
        </w:rPr>
        <w:t>16 consecutive years of dividend growth with a 25.97% payout ratio provides substantial room for dividend acceleration, with the quarterly $0.40/share payment well-covered by $1.56 EPS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Banco Santander acquisition failure would remove the price floor — if regulatory, antitrust, or market conditions prevent closing, Webster stock would re-price to standalone value, likely significantly lower than the current deal-premium-inflated price [1]</w:t>
      </w:r>
    </w:p>
    <w:p>
      <w:pPr>
        <w:spacing w:before="40" w:after="40"/>
        <w:ind w:left="283"/>
      </w:pPr>
      <w:r>
        <w:rPr>
          <w:rFonts w:ascii="Calibri" w:hAnsi="Calibri"/>
          <w:b/>
          <w:color w:val="4A6B25"/>
          <w:sz w:val="20"/>
        </w:rPr>
        <w:t xml:space="preserve">2. </w:t>
      </w:r>
      <w:r>
        <w:rPr>
          <w:rFonts w:ascii="Calibri" w:hAnsi="Calibri"/>
          <w:b w:val="0"/>
          <w:color w:val="3A4A28"/>
          <w:sz w:val="20"/>
        </w:rPr>
        <w:t>NIM compression from 3.44% to 3.26% YoY indicates earnings pressure from deposit competition and funding costs that could accelerate if the rate environment deteriorates, reducing profitability even as loan volumes grow [1]</w:t>
      </w:r>
    </w:p>
    <w:p>
      <w:pPr>
        <w:spacing w:before="40" w:after="40"/>
        <w:ind w:left="283"/>
      </w:pPr>
      <w:r>
        <w:rPr>
          <w:rFonts w:ascii="Calibri" w:hAnsi="Calibri"/>
          <w:b/>
          <w:color w:val="4A6B25"/>
          <w:sz w:val="20"/>
        </w:rPr>
        <w:t xml:space="preserve">3. </w:t>
      </w:r>
      <w:r>
        <w:rPr>
          <w:rFonts w:ascii="Calibri" w:hAnsi="Calibri"/>
          <w:b w:val="0"/>
          <w:color w:val="3A4A28"/>
          <w:sz w:val="20"/>
        </w:rPr>
        <w:t>Innovation score of 3 and AI Resilience of 6 reflect a conventional banking model increasingly vulnerable to fintech disruption — post-merger, Webster's future depends on Santander's technology investment priorities rather than its own innovation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Webster's core commercial banking business is meaningfully protected by regulatory requirements (CRA compliance, banking regulations, KYC/AML), relationship-driven commercial lending that requires human judgment and local market knowledge, and high switching costs for commercial clients with complex credit facilities [1][2]. The 'Outstanding' CRA rating reflects community-embedded operations that AI cannot easily replicate. However, AI-powered fintech competitors are increasingly entering retail banking, loan underwriting, and customer service — areas where Webster's traditional processes face automation pressure. Deposit-gathering, mortgage origination, and consumer lending are all being disrupted by digital-first competitors using AI for credit decisions and customer acquisition. The pending Santander acquisition adds global scale that could provide AI investment resources unavailable to a standalone mid-size bank. AI Opportunity (0/1): Webster does not generate quantifiable revenue from AI products or services. CIO Nafde oversees AI strategy but no specific AI-derived revenue or products have been announced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Webster Financial Q2 2026 Earnings Release — Revenue $740M, NII $632.7M, EPS $1.56, NIM 3.26%, Loans $57.9B, Santander Acquisition Update, SEC Filing, July 2026</w:t>
      </w:r>
    </w:p>
    <w:p>
      <w:pPr>
        <w:spacing w:before="20" w:after="20"/>
        <w:ind w:left="170"/>
      </w:pPr>
      <w:r>
        <w:rPr>
          <w:rFonts w:ascii="Calibri" w:hAnsi="Calibri"/>
          <w:b/>
          <w:color w:val="4A6B25"/>
          <w:sz w:val="15"/>
        </w:rPr>
        <w:t xml:space="preserve">2. </w:t>
      </w:r>
      <w:r>
        <w:rPr>
          <w:rFonts w:ascii="Calibri" w:hAnsi="Calibri"/>
          <w:b w:val="0"/>
          <w:color w:val="3A4A28"/>
          <w:sz w:val="17"/>
        </w:rPr>
        <w:t>Webster Financial Leadership &amp; AI Strategy — CEO John Ciulla (3rd CEO in 82 Years), CIO Vikram Nafde, 'One Team' Culture, AI Magazine/Comparably/LinkedIn, 2023-2026</w:t>
      </w:r>
    </w:p>
    <w:p>
      <w:pPr>
        <w:spacing w:before="20" w:after="20"/>
        <w:ind w:left="170"/>
      </w:pPr>
      <w:r>
        <w:rPr>
          <w:rFonts w:ascii="Calibri" w:hAnsi="Calibri"/>
          <w:b/>
          <w:color w:val="4A6B25"/>
          <w:sz w:val="15"/>
        </w:rPr>
        <w:t xml:space="preserve">3. </w:t>
      </w:r>
      <w:r>
        <w:rPr>
          <w:rFonts w:ascii="Calibri" w:hAnsi="Calibri"/>
          <w:b w:val="0"/>
          <w:color w:val="3A4A28"/>
          <w:sz w:val="17"/>
        </w:rPr>
        <w:t>Webster Financial ESG &amp; Community — 'Outstanding' CRA Rating, Corporate Responsibility, Philanthropy, Community Development, Conference Board, websterbank.com, 2021-2026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 WBS Key Statistics: Forward P/E 11.63x, ROE 10.68%, D/E 8.3%, Profit Margin 34.57%, Dividend Yield 2.08%, Stock Price $78.87,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