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WBX</w:t>
      </w:r>
      <w:r>
        <w:rPr>
          <w:rFonts w:ascii="Calibri" w:hAnsi="Calibri"/>
          <w:b/>
          <w:color w:val="1A2010"/>
          <w:sz w:val="40"/>
        </w:rPr>
        <w:t xml:space="preserve">  Wallbox N.V.</w:t>
      </w:r>
    </w:p>
    <w:p>
      <w:pPr>
        <w:spacing w:after="120"/>
      </w:pPr>
      <w:r>
        <w:rPr>
          <w:rFonts w:ascii="Calibri" w:hAnsi="Calibri"/>
          <w:b/>
          <w:color w:val="6E8450"/>
          <w:sz w:val="18"/>
        </w:rPr>
        <w:t>GROWTH SLEEVE · 2026-09-02 · Inspire: 71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NYSE · Spain</w:t>
      </w:r>
    </w:p>
    <w:p>
      <w:pPr>
        <w:spacing w:after="80"/>
      </w:pPr>
      <w:r>
        <w:rPr>
          <w:rFonts w:ascii="Calibri" w:hAnsi="Calibri"/>
          <w:b w:val="0"/>
          <w:color w:val="3A4A28"/>
          <w:sz w:val="20"/>
        </w:rPr>
        <w:t>Wallbox N.V. designs, manufactures, and sells electric vehicle charging and energy management solutions for residential, semi-public, and public use worldwide. Products include the Pulsar Plus and Pulsar Pro AC home chargers, Quasar bidirectional DC charger (first residential V2G charger), Commander 2 commercial charger, Supernova DC fast charger, and myWallbox energy management platform. Founded in 2015, headquartered in Barcelona, Spain. Listed on NYSE following SPAC merger in October 2021. The company is in severe financial distress: Q2 2026 revenue of E23.9M missed guidance of E33-36M by 30%, and the company completed a court-approved restructuring of ~E169.6M in financial debt including E15.8M in new equity and E5.4M bank financing [1][3].</w:t>
      </w:r>
    </w:p>
    <w:p>
      <w:r>
        <w:rPr>
          <w:rFonts w:ascii="Calibri" w:hAnsi="Calibri"/>
          <w:b/>
          <w:color w:val="6E8450"/>
          <w:sz w:val="18"/>
        </w:rPr>
        <w:t>https://wallbox.com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Wallbox launched the Quasar, the first residential bidirectional DC charger enabling vehicle-to-grid energy flow, representing a genuine product innovation in home EV charging [5]. However, the company has not executed a transformative business model pivot or opened a significant new revenue stream — revenue declined to E23.9M in Q2 2026, missing guidance by 30% due to operational constraints, and Q1 2026 revenue fell 21% YoY to E29.7M [1][2]. AI Deployment (0/2): No evidence of AI-powered products shipping or quantified AI-driven operational savings. Market Share (1/2): Wallbox holds a meaningful position in European residential EV charging with presence in 100+ countries, but is not a category leader — ChargePoint, ABB, and Siemens dominate the broader market, and Wallbox's revenue contraction and ~$74M market cap signal a shrinking competitive position [1][6]. Product Pipeline (0/2): No specific next-generation products announced with timelines or revenue visibility; management commentary is focused on restructuring and operational recovery rather than product roadmap. R&amp;D Intensity (0/1): Insufficient data to assess R&amp;D spend as a percentage of revenue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Wallbox's stated purpose — 'facilitate the adoption of electric vehicles today to make more sustainable use of energy tomorrow' and 'accelerate the electric mobility revolution' — is clear and identifies a specific sustainability-linked purpose, but is not distinctive from peers like ChargePoint or EVgo who articulate nearly identical missions [5]. Community Impact (0/2): No evidence of significant charitable giving, foundation programs, or community investment beyond the inherent environmental benefit of EV charging products. Employee Retention (0/2): Glassdoor data shows poor ratings with reviews citing management and cultural challenges, indicating significant retention issues [5]. Insider Buying (2/2): CEO Enric Asuncion purchased 325,885 shares at $2.72/share ($886,407) on June 30, 2026, increasing his position by 36.5% — a meaningful personal bet during the company's restructuring period that signals leadership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~150,000 shares at $3.11 stock price = ~$467,000 daily dollar volume, well below the $1,000,000 minimum threshold — Infrastructure score is automatically set to 0 [6]. The stock has declined from $4.46 to $3.11 since the July 2026 screen, worsening the liquidity shortfall. Underlying financials remain deeply distressed: negative total equity of -E31M, total debt of E168.2M, FY2025 net loss of -E103.2M on E145.1M revenue (-71.1% net margin), and Q2 2026 adjusted EBITDA of -E7.8M [1][3]. Q2 2026 gross margin of 38% was at the low end of guidance, and revenue of E23.9M missed E33-36M guidance by 30% due to operational constraints [1]. The company completed its E15.8M equity raise and E5.4M bank financing, and won NYSE approval of its compliance plan in July 2026, but remains far from financial stability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Wallbox is playing a survival game, not an infinite one. The company is consumed by restructuring, NYSE compliance remediation, and capital preservation rather than advancing a Just Cause. The Q2 2026 revenue miss of 30% below guidance confirms operational dysfunction rather than strategic purpose. While the founding mission of accelerating EV adoption has environmental merit, it has not been validated through consistent execution — revenue is declining, the workforce culture is fractured, and leadership's attention is directed at near-term financial survival.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Wallbox's mission to 'accelerate the electric mobility revolution' connects to a genuine environmental purpose but reads as interchangeable with any EV charging competitor [5]. The cause has not been validated through sustained execution; instead, the company's history shows revenue stagnation (E144M in FY2022 vs. E145M in FY2025), serial capital raises, a reverse stock split, and the Q2 2026 catastrophic guidance miss that suggest the cause is not driving strategic coherence [1][3].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low-trust environment with poor ratings and reviews describing management challenges and a culture that has not scaled with the organization [5]. The 31% reduction in labor costs YoY reflects significant headcount cuts that further erode team trust. Recent appointments of a new CBO and COO suggest leadership instability rather than continuity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Wallbox's competitive positioning focuses on product features and market presence rather than learning from rivals' strengths. In a market with Tesla, ChargePoint, ABB, and Schneider Electric, Wallbox's competitive narrative focuses on differentiation rather than self-improvement through rival acknowledgment.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Wallbox has not demonstrated a transformative strategic pivot. The company remains focused on its original EV charging business model from its 2015 founding. The Quasar bidirectional charger represents an incremental product innovation, not a fundamental business model reinvention. Current restructuring is driven by financial necessity rather than strategic vision [1][3].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that sacrifice near-term performance for future capability. The company is in survival mode — cutting costs 31% YoY, restructuring debt, and managing NYSE compliance [1][3]. While CEO Asuncion's personal stock purchase ($886K at $2.72/share during restructuring) shows individual conviction, it does not represent a company-level strategic choice to invest during adversity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Wallbox operates in the structurally attractive EV charging infrastructure market, benefiting from accelerating global EV adoption, government charging mandates (EU's Alternative Fuels Infrastructure Regulation, US NEVI program), and the long-term electrification megatrend [5]. The company has a differentiated product portfolio anchored by the Quasar bidirectional DC charger and improving gross margins (38% in Q2 2026, up from 34.2% in FY2024) [1]. CEO Enric Asuncion's $886K personal stock purchase at $2.72/share in June 2026 demonstrates insider conviction [4]. Q2 2026 order intake grew 11% sequentially, building a backlog of nearly E12M, suggesting demand is not the problem — operational execution is [1]. The completed E15.8M equity raise and NYSE compliance plan approval in July 2026 provide near-term stabilization [2][3].</w:t>
      </w:r>
    </w:p>
    <w:p>
      <w:pPr>
        <w:spacing w:after="120"/>
      </w:pPr>
      <w:r>
        <w:rPr>
          <w:rFonts w:ascii="Calibri" w:hAnsi="Calibri"/>
          <w:b w:val="0"/>
          <w:color w:val="3A4A28"/>
          <w:sz w:val="20"/>
        </w:rPr>
        <w:t>However, the investment case is overwhelmed by existential financial risk and execution failure. Q2 2026 revenue of E23.9M catastrophically missed guidance of E33-36M by approximately 30%, with management attributing the shortfall to 'operational constraints rather than demand weakness' — but a company that cannot ship products it has orders for has a fundamental execution problem [1]. Wallbox has negative equity of -E31M, E168.2M in debt, and generated a -E103.2M net loss in FY2025 on only E145.1M of revenue (-71.1% net margin) [3]. The adjusted EBITDA loss of -E7.8M in Q2 was nearly flat YoY and wider than Q1, showing deterioration rather than improvement. With the stock at $3.11 (down from $4.46 in July), average daily dollar volume has fallen to approximately $467K — far below the $1M IOWN liquidity floor, making the stock effectively untradable for institutional portfolios [6]. The EV charging market is increasingly commoditized with well-capitalized competitors (Tesla, ChargePoint, ABB) who can absorb losses that would be fatal to Wallbox. The Inspire Impact Score of 71 (ALIGNED) reflects strong ESG positioning but cannot overcome the financial distress.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Resolution of the operational constraints that caused the Q2 2026 revenue miss, enabling shipment of the E12M order backlog and demonstrating manufacturing capability recovery [1]</w:t>
      </w:r>
    </w:p>
    <w:p>
      <w:pPr>
        <w:spacing w:before="40" w:after="40"/>
        <w:ind w:left="283"/>
      </w:pPr>
      <w:r>
        <w:rPr>
          <w:rFonts w:ascii="Calibri" w:hAnsi="Calibri"/>
          <w:b/>
          <w:color w:val="4A6B25"/>
          <w:sz w:val="20"/>
        </w:rPr>
        <w:t xml:space="preserve">2. </w:t>
      </w:r>
      <w:r>
        <w:rPr>
          <w:rFonts w:ascii="Calibri" w:hAnsi="Calibri"/>
          <w:b w:val="0"/>
          <w:color w:val="3A4A28"/>
          <w:sz w:val="20"/>
        </w:rPr>
        <w:t>Scaling toward EBITDA breakeven through the restructured cost base, with Q1 2026 showing a 23% YoY improvement in adjusted EBITDA and Q2 gross margin holding at 38% despite revenue miss [1][2]</w:t>
      </w:r>
    </w:p>
    <w:p>
      <w:pPr>
        <w:spacing w:before="40" w:after="40"/>
        <w:ind w:left="283"/>
      </w:pPr>
      <w:r>
        <w:rPr>
          <w:rFonts w:ascii="Calibri" w:hAnsi="Calibri"/>
          <w:b/>
          <w:color w:val="4A6B25"/>
          <w:sz w:val="20"/>
        </w:rPr>
        <w:t xml:space="preserve">3. </w:t>
      </w:r>
      <w:r>
        <w:rPr>
          <w:rFonts w:ascii="Calibri" w:hAnsi="Calibri"/>
          <w:b w:val="0"/>
          <w:color w:val="3A4A28"/>
          <w:sz w:val="20"/>
        </w:rPr>
        <w:t>European EV adoption acceleration driven by EU Alternative Fuels Infrastructure Regulation mandating charging station deployments and the 2035 ICE ban, creating structural demand growth for all EV charging hardware providers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remains acute despite restructuring: negative equity of -E31M, E168.2M debt against minimal cash, and Q2 2026 revenue miss of 30% below guidance signals fundamental operational execution failure that threatens the company's viability [1][3]</w:t>
      </w:r>
    </w:p>
    <w:p>
      <w:pPr>
        <w:spacing w:before="40" w:after="40"/>
        <w:ind w:left="283"/>
      </w:pPr>
      <w:r>
        <w:rPr>
          <w:rFonts w:ascii="Calibri" w:hAnsi="Calibri"/>
          <w:b/>
          <w:color w:val="4A6B25"/>
          <w:sz w:val="20"/>
        </w:rPr>
        <w:t xml:space="preserve">2. </w:t>
      </w:r>
      <w:r>
        <w:rPr>
          <w:rFonts w:ascii="Calibri" w:hAnsi="Calibri"/>
          <w:b w:val="0"/>
          <w:color w:val="3A4A28"/>
          <w:sz w:val="20"/>
        </w:rPr>
        <w:t>NYSE compliance risk — while the compliance plan was approved in July 2026, the company must maintain minimum market cap and equity thresholds; further stock price declines from the current $3.11 could trigger renewed non-compliance [2][6]</w:t>
      </w:r>
    </w:p>
    <w:p>
      <w:pPr>
        <w:spacing w:before="40" w:after="40"/>
        <w:ind w:left="283"/>
      </w:pPr>
      <w:r>
        <w:rPr>
          <w:rFonts w:ascii="Calibri" w:hAnsi="Calibri"/>
          <w:b/>
          <w:color w:val="4A6B25"/>
          <w:sz w:val="20"/>
        </w:rPr>
        <w:t xml:space="preserve">3. </w:t>
      </w:r>
      <w:r>
        <w:rPr>
          <w:rFonts w:ascii="Calibri" w:hAnsi="Calibri"/>
          <w:b w:val="0"/>
          <w:color w:val="3A4A28"/>
          <w:sz w:val="20"/>
        </w:rPr>
        <w:t>Average daily dollar volume of ~$467K at $3.11/share falls far below the IOWN $1M liquidity floor, making position entry/exit impractical and exposing holders to severe price impact on any meaningful trade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Wallbox's core business — designing, manufacturing, installing, and servicing physical EV charging hardware — is structurally protected from AI displacement [5]. AI cannot charge a vehicle, manufacture a charger, or install electrical infrastructure. The products require UL/CE safety certification, electrical code compliance, and physical grid interconnection that create regulatory and physical moats against pure-software AI competitors. The growing EV fleet and government charging mandates create secular demand that AI cannot substitute. However, the smart energy management software layer faces exposure — AI-native competitors or platform players like Tesla could build superior energy management algorithms. AI Opportunity (0/1): No evidence of AI-powered products generating revenue or specific AI-driven cost savings quantified in earnings materials.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Wallbox Q2 2026 Earnings Presentation — Revenue E23.9M (missed E33-36M guidance by 30%), Adjusted EBITDA -E7.8M, gross margin 38%, order intake +11% sequentially, backlog ~E12M, July 30, 2026</w:t>
      </w:r>
    </w:p>
    <w:p>
      <w:pPr>
        <w:spacing w:before="20" w:after="20"/>
        <w:ind w:left="170"/>
      </w:pPr>
      <w:r>
        <w:rPr>
          <w:rFonts w:ascii="Calibri" w:hAnsi="Calibri"/>
          <w:b/>
          <w:color w:val="4A6B25"/>
          <w:sz w:val="15"/>
        </w:rPr>
        <w:t xml:space="preserve">2. </w:t>
      </w:r>
      <w:r>
        <w:rPr>
          <w:rFonts w:ascii="Calibri" w:hAnsi="Calibri"/>
          <w:b w:val="0"/>
          <w:color w:val="3A4A28"/>
          <w:sz w:val="17"/>
        </w:rPr>
        <w:t>Wallbox Q1 2026 Earnings Release — Revenue E29.7M, Gross Margin 37.3%, Adjusted EBITDA -E6.0M (+23% YoY improvement), restructuring completed with E15.8M equity and E5.4M bank financing, May 2026</w:t>
      </w:r>
    </w:p>
    <w:p>
      <w:pPr>
        <w:spacing w:before="20" w:after="20"/>
        <w:ind w:left="170"/>
      </w:pPr>
      <w:r>
        <w:rPr>
          <w:rFonts w:ascii="Calibri" w:hAnsi="Calibri"/>
          <w:b/>
          <w:color w:val="4A6B25"/>
          <w:sz w:val="15"/>
        </w:rPr>
        <w:t xml:space="preserve">3. </w:t>
      </w:r>
      <w:r>
        <w:rPr>
          <w:rFonts w:ascii="Calibri" w:hAnsi="Calibri"/>
          <w:b w:val="0"/>
          <w:color w:val="3A4A28"/>
          <w:sz w:val="17"/>
        </w:rPr>
        <w:t>Wallbox 2025 Annual Report (20-F) — Net loss E103.2M, negative equity E31.5M, E4.4M cash, E164.7M loans, court-approved restructuring of E169.6M financial debt, filed 2026</w:t>
      </w:r>
    </w:p>
    <w:p>
      <w:pPr>
        <w:spacing w:before="20" w:after="20"/>
        <w:ind w:left="170"/>
      </w:pPr>
      <w:r>
        <w:rPr>
          <w:rFonts w:ascii="Calibri" w:hAnsi="Calibri"/>
          <w:b/>
          <w:color w:val="4A6B25"/>
          <w:sz w:val="15"/>
        </w:rPr>
        <w:t xml:space="preserve">4. </w:t>
      </w:r>
      <w:r>
        <w:rPr>
          <w:rFonts w:ascii="Calibri" w:hAnsi="Calibri"/>
          <w:b w:val="0"/>
          <w:color w:val="3A4A28"/>
          <w:sz w:val="17"/>
        </w:rPr>
        <w:t>SEC Form 4 — CEO Enric Asuncion Insider Purchase of 325,885 shares at $2.72/share ($886,407), June 30, 2026</w:t>
      </w:r>
    </w:p>
    <w:p>
      <w:pPr>
        <w:spacing w:before="20" w:after="20"/>
        <w:ind w:left="170"/>
      </w:pPr>
      <w:r>
        <w:rPr>
          <w:rFonts w:ascii="Calibri" w:hAnsi="Calibri"/>
          <w:b/>
          <w:color w:val="4A6B25"/>
          <w:sz w:val="15"/>
        </w:rPr>
        <w:t xml:space="preserve">5. </w:t>
      </w:r>
      <w:r>
        <w:rPr>
          <w:rFonts w:ascii="Calibri" w:hAnsi="Calibri"/>
          <w:b w:val="0"/>
          <w:color w:val="3A4A28"/>
          <w:sz w:val="17"/>
        </w:rPr>
        <w:t>Wallbox Corporate Website — Product Portfolio (Pulsar Plus, Quasar, Supernova, Commander 2), wallbox.com,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Morningstar — WBX Key Statistics: Stock Price $3.11, Market Cap ~$74M, Avg Volume ~150K, accessed August-September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