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WCN</w:t>
      </w:r>
      <w:r>
        <w:rPr>
          <w:rFonts w:ascii="Calibri" w:hAnsi="Calibri"/>
          <w:b/>
          <w:color w:val="1A2010"/>
          <w:sz w:val="40"/>
        </w:rPr>
        <w:t xml:space="preserve">  Waste Connections, Inc.</w:t>
      </w:r>
    </w:p>
    <w:p>
      <w:pPr>
        <w:spacing w:after="120"/>
      </w:pPr>
      <w:r>
        <w:rPr>
          <w:rFonts w:ascii="Calibri" w:hAnsi="Calibri"/>
          <w:b/>
          <w:color w:val="6E8450"/>
          <w:sz w:val="18"/>
        </w:rPr>
        <w:t>GROWTH SLEEVE · 2026-09-18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NYSE · Canada</w:t>
      </w:r>
    </w:p>
    <w:p>
      <w:pPr>
        <w:spacing w:after="80"/>
      </w:pPr>
      <w:r>
        <w:rPr>
          <w:rFonts w:ascii="Calibri" w:hAnsi="Calibri"/>
          <w:b w:val="0"/>
          <w:color w:val="3A4A28"/>
          <w:sz w:val="20"/>
        </w:rPr>
        <w:t>Waste Connections is the third-largest waste management company in North America, providing non-hazardous waste collection, transfer, disposal, and recycling services across the United States and Canada. Founded in 1997 and headquartered in Woodbridge, Ontario, the company operates under a Servant Leadership philosophy targeting underserved and exclusive markets through a disciplined tuck-in acquisition strategy. CEO Ronald Mittelstaedt returned as CEO in April 2023, bringing 35+ years of industry experience. Q2 2026 revenue rose 6.4% to $2.562B with adjusted EBITDA of $840.1M (32.8% margin), and the company raised FY2026 guidance to $10.02-10.05B in revenue and $3.33-3.34B in adjusted EBITDA. The company has committed $100M to deploy seven enterprise-level AI initiatives with BCG through 2027. Market cap approximately $39B.</w:t>
      </w:r>
    </w:p>
    <w:p>
      <w:r>
        <w:rPr>
          <w:rFonts w:ascii="Calibri" w:hAnsi="Calibri"/>
          <w:b/>
          <w:color w:val="6E8450"/>
          <w:sz w:val="18"/>
        </w:rPr>
        <w:t>24,214 Employees · https://www.wasteconnections.com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Waste Connections executes a proven but incremental tuck-in acquisition strategy, completing multiple deals per year in underserved and exclusive markets. Q2 2026 revenue growth of 6.4% included $55M in net acquisition contribution [1]. The company has also expanded into renewable natural gas (RNG) from landfill gas capture and E&amp;P waste treatment. However, these represent incremental extensions of the waste management business model, not transformative pivots or product launches. AI Deployment (2/2): CEO Mittelstaedt signed off on spending $100M to deploy seven enterprise-level AI initiatives in 2024, working with BCG to complete projects through 2027 [2]. This represents a specific, quantified, and substantial AI investment program with measurable deployment targets. AI applications include route optimization, dynamic pricing, safety monitoring, and predictive maintenance — all generating specific operational efficiency gains. Market Share (2/2): Waste Connections is the third-largest solid waste company in North America with FY2026 revenue guidance of $10.02-10.05B, behind Waste Management (~$22B) and Republic Services (~$16B) [1]. The company holds dominant or exclusive positions in many local markets through franchise agreements and tuck-in acquisitions. Product Pipeline (1/2): Expansion of RNG projects, recycling operations, and E&amp;P waste treatment provides near-term revenue visibility, and the raised FY2026 guidance signals continued growth. However, these are incremental service extensions, not next-generation products with specific launch timelines. R&amp;D Intensity (0/1): Waste management is not traditionally R&amp;D intensive. Technology investment (AI, routing, automation) is classified as operating expense rather than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Waste Connections operates under a distinctive Servant Leadership philosophy that frames the company's purpose around serving employees, communities, and the environment through waste management [2]. 'Connect with the Sustainable Future' is the sustainability tagline. The Servant Leadership approach shapes strategic decisions — targeting underserved markets, avoiding price wars, investing in employee development, and maintaining a culture-first approach. While clear and identifying a specific management philosophy, it is more of an operational framework than a transformative vision of a future state that inspires beyond the industry. Community Impact (1/2): Waste Connections has committed over $500M in investments toward long-term sustainability targets, achieving a 40% reduction in emissions intensity over multiple years [3]. The company publishes comprehensive sustainability reports aligned with TCFD and SASB frameworks. However, these investments primarily serve the business (landfill gas capture generates revenue) rather than representing purely charitable community investment. Employee Retention (2/2): Record 95% employee engagement survey response rate with an overall score of 8.6, exceeding both prior year results and industry benchmarks [2]. This is exceptional for a waste management company with 24,000+ employees, and employees specifically cite Servant Leadership culture as a reason they stay. The engagement metric is independently administered and represents one of the strongest employee satisfaction indicators in the industrial sector. Insider Buying (2/2): CEO Ronald Mittelstaedt purchased 50,000 shares at $152.24 on May 12, 2026, investing $7.6M of personal capital [4]. This is massive CEO insider buying that demonstrates extraordinary conviction in the company's trajectory — one of the largest single CEO purchases identified across the screening universe.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Waste Connections demonstrates a solid financial profile with notable strengths in growth consistency and moderate weaknesses in profitability metrics. D/E of 121.7% scores 0.78, reflecting meaningful but manageable leverage for a capital-intensive waste management business with predictable cash flows [4]. ROE of 13.0% is close to but below the 15% target, scoring 0.87 with 2x weight. Revenue growth YoY of 6.4% scores 0.88, driven by core pricing increases of 5-5.5% and acquisition contribution, approaching but below the 10% target [1]. Revenue growth 5yr CAGR of approximately 10% (from ~$5.05B in 2020 to $9.47B in 2025, including acquisitions) meets the target, scoring 1.0 with 2x weight. Forward P/E of 25.0x scores 0.88 — a premium valuation reflecting the market's recognition of WCN's defensive qualities and margin expansion trajectory. Profit margin of 10.9% scores 0.54, reflecting waste management's capital-intensive, labor-heavy cost structure [4]. PEG ratio of 1.51 scores 0.75 with 2x weight, reflecting reasonable growth-adjusted valuation. Liquidity clears easily at ~$194M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Waste Connections is one of the strongest infinite game players in the industrial sector, distinguished by its genuine Servant Leadership culture, exceptional employee engagement (95% response rate, 8.6 score), and CEO insider buying ($7.6M). The company's strategy of targeting underserved markets rather than competing head-to-head with larger rivals reflects Sinek's worthy rivals concept. CEO Mittelstaedt's 35+ years of industry dedication and willingness to invest $100M in AI and $500M+ in sustainability demonstrate long-term thinking. However, the company's purpose, while genuinely lived, is ultimately about waste management excellence rather than a transformative vision of a future worth sacrificing for.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Waste Connections' Servant Leadership philosophy — serving employees, communities, and the environment through waste management — is genuine, distinctive, and has been partially validated by nearly 30 years of consistent execution since founding in 1997 [2]. Strategic decisions clearly trace back to this cause: targeting underserved markets (serving communities neglected by larger competitors), investing $500M+ in sustainability, and maintaining a culture-first approach that produces record employee engagement [3]. However, Servant Leadership describes HOW the company operates rather than a transformative WHAT — a future state worth sacrificing for. It lacks the idealistic, never-achievable quality that Sinek requires for a true Just Cause.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Waste Connections demonstrates exceptional organizational trust, validated by independently measured data. Record 95% employee engagement survey response rate (expanded survey) with an overall score of 8.6, exceeding both prior year results and industry benchmarks [2]. For a 24,000+ employee waste management company — an industry historically characterized by high turnover and labor challenges — this level of engagement is remarkable. The Servant Leadership culture creates a 'Circle of Safety' in Sinek's framework, where employees feel valued and invested in. Multiple sources cite Servant Leadership as integral to the company's growth and sustainability strategy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Waste Connections explicitly does not compete head-to-head with Waste Management or Republic Services in their stronghold markets, instead targeting underserved and exclusive franchise markets where WCN can deliver superior service [1]. This competitive posture — acknowledging larger rivals' strengths and choosing to compete where WCN's capabilities are most differentiated — perfectly embodies Sinek's worthy rivals concept. The company uses the existence of larger competitors as motivation to excel in its chosen markets rather than engaging in a finite game of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Waste Connections has evolved from a regional Texas-based hauler (founded 1997) to the third-largest North American waste management company through disciplined acquisition and expansion into adjacent services including RNG production, E&amp;P waste treatment, recycling, and intermodal transportation [1]. The $100M AI investment represents significant operational transformation. However, the company has not undergone a fundamental business model reinvention — it remains a waste management company, executing the same core strategy (tuck-in acquisitions in underserved markets) increasingly well. The evolution is impressive but incremental.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Mittelstaedt demonstrates courage through his $7.6M personal stock purchase (50,000 shares) in May 2026, the $100M AI investment with BCG, and the $500M+ sustainability commitment [2][3][4]. The company's disciplined acquisition strategy includes walking away from deals that don't fit the Servant Leadership culture, even when they would add revenue. However, these decisions, while admirable, represent disciplined execution within an established strategy rather than the costly, contrarian bets (investing during downturns, exiting profitable businesses) that Sinek's framework rewards with full marks.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Waste Connections is a best-in-class defensive compounder operating in a structurally AI-immune industry with exceptional culture and management quality. Q2 2026 revenue rose 6.4% to $2.562B with adjusted EBITDA of $840.1M (32.8% margin, up 10bps YoY), and the company raised FY2026 guidance to $10.02-10.05B revenue and $3.33-3.34B adjusted EBITDA [1]. The Servant Leadership culture produces record employee engagement (95% response rate, 8.6 score) that translates directly into operational excellence — lower turnover reduces hiring costs, improves route efficiency, and drives customer retention [2]. CEO Mittelstaedt's $7.6M personal stock purchase signals extraordinary insider conviction [4]. Core pricing of 5-5.5% combined with tuck-in acquisitions provides a durable mid-single-digit organic growth engine, while the $100M AI investment program targeting seven enterprise-level initiatives with BCG should drive margin expansion through 2027 [2]. The waste management business is structurally recession-resistant and entirely immune to AI disruption.</w:t>
      </w:r>
    </w:p>
    <w:p>
      <w:pPr>
        <w:spacing w:after="120"/>
      </w:pPr>
      <w:r>
        <w:rPr>
          <w:rFonts w:ascii="Calibri" w:hAnsi="Calibri"/>
          <w:b w:val="0"/>
          <w:color w:val="3A4A28"/>
          <w:sz w:val="20"/>
        </w:rPr>
        <w:t>The bear case centers on premium valuation, slowing growth, and leverage. At 25x forward earnings and 37.8x trailing P/E, Waste Connections trades at a significant premium to the S&amp;P 500 and to direct peers, reflecting the market's recognition of WCN's defensive qualities but leaving limited room for multiple expansion [4]. Organic revenue growth is decelerating — volumes declined 1.9% in Q1 2026, with core pricing (5-5.5%) carrying the growth burden as the economy slows [1]. D/E of 121.7% represents meaningful leverage for a company with 10.9% profit margins, and the acquisition-driven growth strategy requires continued capital deployment. The 0.9% dividend yield, while growing at 8.8% 5-year CAGR, falls well below the 2% threshold for income-focused investors. ROE of 13.0% is solid but below the 15% target, reflecting the capital-intensive nature of waste management infrastructure. The PEG ratio of 1.51 suggests the market is paying a fair-to-full price for mid-single-digit growth. The stock at $155.23 is below its 50-day SMA of $166.30, reflecting recent market rotation away from defensive names despite raised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FY2026 guidance to $10.02-10.05B revenue and $3.33-3.34B adjusted EBITDA after strong H1 2026 execution, with core pricing at the high end of 5-5.5% range and continued tuck-in acquisition pipeline [1]</w:t>
      </w:r>
    </w:p>
    <w:p>
      <w:pPr>
        <w:spacing w:before="40" w:after="40"/>
        <w:ind w:left="283"/>
      </w:pPr>
      <w:r>
        <w:rPr>
          <w:rFonts w:ascii="Calibri" w:hAnsi="Calibri"/>
          <w:b/>
          <w:color w:val="4A6B25"/>
          <w:sz w:val="20"/>
        </w:rPr>
        <w:t xml:space="preserve">2. </w:t>
      </w:r>
      <w:r>
        <w:rPr>
          <w:rFonts w:ascii="Calibri" w:hAnsi="Calibri"/>
          <w:b w:val="0"/>
          <w:color w:val="3A4A28"/>
          <w:sz w:val="20"/>
        </w:rPr>
        <w:t>$100M AI investment across seven enterprise-level initiatives with BCG (through 2027) targeting route optimization, dynamic pricing, safety monitoring, and predictive maintenance — should drive measurable margin expansion as projects deploy [2]</w:t>
      </w:r>
    </w:p>
    <w:p>
      <w:pPr>
        <w:spacing w:before="40" w:after="40"/>
        <w:ind w:left="283"/>
      </w:pPr>
      <w:r>
        <w:rPr>
          <w:rFonts w:ascii="Calibri" w:hAnsi="Calibri"/>
          <w:b/>
          <w:color w:val="4A6B25"/>
          <w:sz w:val="20"/>
        </w:rPr>
        <w:t xml:space="preserve">3. </w:t>
      </w:r>
      <w:r>
        <w:rPr>
          <w:rFonts w:ascii="Calibri" w:hAnsi="Calibri"/>
          <w:b w:val="0"/>
          <w:color w:val="3A4A28"/>
          <w:sz w:val="20"/>
        </w:rPr>
        <w:t>CEO Mittelstaedt's $7.6M personal stock purchase (50,000 shares at $152.24) in May 2026, combined with record 95% employee engagement scores, signals exceptional leadership confidence and organizational health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25x forward earnings prices in continued execution without error — any acquisition integration misstep, volume decline acceleration, or pricing power erosion could trigger multiple compression from current levels [4]</w:t>
      </w:r>
    </w:p>
    <w:p>
      <w:pPr>
        <w:spacing w:before="40" w:after="40"/>
        <w:ind w:left="283"/>
      </w:pPr>
      <w:r>
        <w:rPr>
          <w:rFonts w:ascii="Calibri" w:hAnsi="Calibri"/>
          <w:b/>
          <w:color w:val="4A6B25"/>
          <w:sz w:val="20"/>
        </w:rPr>
        <w:t xml:space="preserve">2. </w:t>
      </w:r>
      <w:r>
        <w:rPr>
          <w:rFonts w:ascii="Calibri" w:hAnsi="Calibri"/>
          <w:b w:val="0"/>
          <w:color w:val="3A4A28"/>
          <w:sz w:val="20"/>
        </w:rPr>
        <w:t>Volume declines of 1.9% in Q1 2026 reflect economic softness that could worsen if recession materializes, pressuring organic revenue growth that is already dependent on pricing rather than volume expansion [1]</w:t>
      </w:r>
    </w:p>
    <w:p>
      <w:pPr>
        <w:spacing w:before="40" w:after="40"/>
        <w:ind w:left="283"/>
      </w:pPr>
      <w:r>
        <w:rPr>
          <w:rFonts w:ascii="Calibri" w:hAnsi="Calibri"/>
          <w:b/>
          <w:color w:val="4A6B25"/>
          <w:sz w:val="20"/>
        </w:rPr>
        <w:t xml:space="preserve">3. </w:t>
      </w:r>
      <w:r>
        <w:rPr>
          <w:rFonts w:ascii="Calibri" w:hAnsi="Calibri"/>
          <w:b w:val="0"/>
          <w:color w:val="3A4A28"/>
          <w:sz w:val="20"/>
        </w:rPr>
        <w:t>Acquisition-dependent growth strategy requires continued access to attractively priced tuck-in targets in underserved markets — as private waste companies are acquired, the remaining opportunity set shrinks, potentially slowing inorganic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Waste collection and disposal is structurally immune to AI disruption — the core business involves physical trucks collecting physical waste from physical locations and transporting it to physical landfills, transfer stations, and recycling facilities [1]. AI cannot substitute for garbage collection, landfill operations, or environmental remediation. The business is additionally protected by regulatory moats (environmental permits, EPA compliance, municipal franchise agreements), physical infrastructure barriers (landfill permitting takes 5-10 years), and local network effects (route density economics). AI may actually increase demand — data center expansion requires waste management for construction debris and electronics recycling, and broader economic growth drives waste volumes. The waste management industry has faced zero substitution risk from AI, and no analysts have flagged AI disruption as a concern for the sector. AI Opportunity (0/1): Waste Connections uses AI extensively for internal operations — $100M investment in seven AI initiatives covering route optimization, dynamic pricing, safety monitoring, and predictive maintenance [2]. However, the company does not generate revenue from AI products or services sold to external customers. AI improves operational efficiency but is not separately monetized.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Waste Connections Q2 2026 Earnings Release — Revenue $2.562B (+6.4%), Adjusted EBITDA $840.1M (32.8% margin), raised FY2026 guidance to $10.02-10.05B revenue and $3.33-3.34B adjusted EBITDA, core pricing 5-5.5%, volumes -1.9%, August 2026</w:t>
      </w:r>
    </w:p>
    <w:p>
      <w:pPr>
        <w:spacing w:before="20" w:after="20"/>
        <w:ind w:left="170"/>
      </w:pPr>
      <w:r>
        <w:rPr>
          <w:rFonts w:ascii="Calibri" w:hAnsi="Calibri"/>
          <w:b/>
          <w:color w:val="4A6B25"/>
          <w:sz w:val="15"/>
        </w:rPr>
        <w:t xml:space="preserve">2. </w:t>
      </w:r>
      <w:r>
        <w:rPr>
          <w:rFonts w:ascii="Calibri" w:hAnsi="Calibri"/>
          <w:b w:val="0"/>
          <w:color w:val="3A4A28"/>
          <w:sz w:val="17"/>
        </w:rPr>
        <w:t>Waste Connections Leadership and Culture — CEO Ronald Mittelstaedt (April 2023), Servant Leadership philosophy, $100M AI investment with BCG (seven enterprise initiatives through 2027), record 95% employee engagement response rate (score 8.6), 2024-2026</w:t>
      </w:r>
    </w:p>
    <w:p>
      <w:pPr>
        <w:spacing w:before="20" w:after="20"/>
        <w:ind w:left="170"/>
      </w:pPr>
      <w:r>
        <w:rPr>
          <w:rFonts w:ascii="Calibri" w:hAnsi="Calibri"/>
          <w:b/>
          <w:color w:val="4A6B25"/>
          <w:sz w:val="15"/>
        </w:rPr>
        <w:t xml:space="preserve">3. </w:t>
      </w:r>
      <w:r>
        <w:rPr>
          <w:rFonts w:ascii="Calibri" w:hAnsi="Calibri"/>
          <w:b w:val="0"/>
          <w:color w:val="3A4A28"/>
          <w:sz w:val="17"/>
        </w:rPr>
        <w:t>Waste Connections 2024 Sustainability Report — $500M+ committed to sustainability targets, 40% emissions intensity reduction, landfill gas-to-energy projects, TCFD/SASB alignment, sustainability.wasteconnections.com,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WCN Key Statistics: Stock Price $155.23, Forward P/E 25.01x, Trailing P/E 37.77x, ROE 13.03%, D/E 121.7%, PEG 1.51, Dividend $1.40 (0.9% yield), CEO Purchase 50,000 shares ($7.6M) May 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