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WHD</w:t>
      </w:r>
      <w:r>
        <w:rPr>
          <w:rFonts w:ascii="Calibri" w:hAnsi="Calibri"/>
          <w:b/>
          <w:color w:val="1A2010"/>
          <w:sz w:val="40"/>
        </w:rPr>
        <w:t xml:space="preserve">  Cactus, Inc.</w:t>
      </w:r>
    </w:p>
    <w:p>
      <w:pPr>
        <w:spacing w:after="120"/>
      </w:pPr>
      <w:r>
        <w:rPr>
          <w:rFonts w:ascii="Calibri" w:hAnsi="Calibri"/>
          <w:b/>
          <w:color w:val="6E8450"/>
          <w:sz w:val="18"/>
        </w:rPr>
        <w:t>GROWTH SLEEVE · 2026-10-01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Cactus, Inc. designs, manufactures, sells, and rents wellhead and pressure control equipment and provides field services to oil and gas operators. Operates two segments: Pressure Control (wellheads, frac trees, production trees) and Spoolable Technologies (FlexSteel brand pipes). In January 2026, Cactus acquired 65% of Baker Hughes' Surface Pressure Control business for $344.5M, creating Cactus International and dramatically expanding its global footprint with $600M in acquired backlog. Q2 2026 revenue reached $449.5M. Founded in 2011 by the Bender family, headquartered in Houston, Texas.</w:t>
      </w:r>
    </w:p>
    <w:p>
      <w:r>
        <w:rPr>
          <w:rFonts w:ascii="Calibri" w:hAnsi="Calibri"/>
          <w:b/>
          <w:color w:val="6E8450"/>
          <w:sz w:val="18"/>
        </w:rPr>
        <w:t>1,500 Employees · https://www.cactuswhd.com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$344.5M acquisition of 65% of Baker Hughes' Surface Pressure Control business on January 1, 2026, was transformative — creating Cactus International, roughly doubling revenue, and expanding from a U.S.-focused operator to a global wellhead equipment provider with 85% of SPC revenues from the Middle East [1]. The earlier FlexSteel spoolable pipe technology acquisition added a genuinely differentiated product line with applications in production, gathering, and takeaway pipelines. Two significant strategic moves in recent years. AI Deployment (0/2): No AI deployment was identified in Cactus's operations. The company manufactures and services physical wellhead equipment — a domain where AI has minimal current application [2]. Market Share (2/2): Cactus is a category leader in U.S. onshore pressure control equipment, and the Baker Hughes SPC acquisition makes the company a major global player in wellhead systems, adding a $600M international backlog concentrated in the Middle East [1][2]. Combined with the FlexSteel brand leadership in spoolable pipes, Cactus holds dominant or leading positions in multiple product categories. Product Pipeline (1/2): Cactus International provides a significant growth platform with Middle East expansion opportunities, and Q2 2026 adjusted EBITDA margins expanded to 29.5% as the SPC integration progresses [1]. Management guided Q3 revenue 'down slightly' from Q2's $449.5M, indicating scale stabilization rather than new product launches. R&amp;D Intensity (0/1): No evidence of above-average R&amp;D spending relative to oilfield services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Cactus describes its focus as 'designing, manufacturing, and servicing wellhead and pressure control equipment' — a functional description of business activity rather than a purpose connecting the company's work to a larger societal benefit [3]. No distinctive mission, purpose, or vision statement was found on the company's website or in public materials. Community Impact (0/2): The sustainability report states Cactus is 'committed to improving lives of its employees and communities' with policies on human rights and ethical behavior, but no specific charitable programs, foundation, or quantified community investment was identified [3]. Employee Retention (1/2): Family-led company since founding in 2011 by the Bender family, with CEO Scott Bender providing continuous leadership since inception. Named to Inc.'s Best-Led Companies list, suggesting organizational competence and cultural stability [2]. However, no specific data on employee turnover, tenure, or retention distinguishes the company from industry norms. Insider Buying (0/2): Held by insiders at only 0.97%, and no meaningful insider buying was identified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of 3.3% is essentially debt-free — an exceptional balance sheet with $365.8M cash against only $56.2M debt (score 1.0) [4]. Forward P/E of 17.17 is below the 20 target (score 1.0). ROE of 13.1% is below the 15% target but robust for a capital equipment manufacturer (score 0.87, 2x weight). Revenue growth YoY of 64.3% is well above the 10% target (score 1.0), driven by the Baker Hughes SPC acquisition and organic growth. Estimated 5-year revenue CAGR of approximately 15% exceeds the 10% target (score 1.0, 2x weight) [4]. Profit margin of 12.0% is below the 20% target (score 0.60). Forward PEG unavailable and excluded from calculation. Daily dollar volume of ~$48.5M provides ample liquidity above the $1M floor. Q2 2026 adjusted EBITDA of $133M (29.5% margin) and operating cash flow of $367M demonstrate strong earnings quality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Cactus is a well-managed, family-led oilfield equipment company that demonstrates strategic ambition through the transformative Baker Hughes acquisition but lacks the purpose-driven orientation that characterizes infinite game players at the highest level. The Bender family's founder-led culture provides continuity and a long-term ownership mindset, and the willingness to make a $344.5M acquisition that temporarily compressed earnings shows courage. However, the absence of a Just Cause beyond commercial success and the finite competitive dynamics of oilfield services limit the infinite game score.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Cactus exists to manufacture and sell wellhead equipment to oil and gas operators — a legitimate commercial activity that provides essential infrastructure for energy production, but not a vision of a future state that inspires sacrifice or transcends the business itself [3]. The company articulates no purpose beyond serving customers and generating returns. The implied purpose of enabling safe, reliable energy extraction has societal value but is not articulated as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Family-led since founding in 2011 by the Bender family, with CEO Scott Bender providing continuous leadership through IPO and global expansion. Named to Inc.'s Best-Led Companies list, suggesting organizational competence [2]. The 1,500-employee workforce operates in a founder-led culture with consistent leadership. However, no specific data on employee culture, psychological safety, retention, or tenure was available to confirm high trust beyond leadership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competitive pressure for self-improvement. Cactus competes with Schlumberger, Halliburton, and TechnipFMC, but competitive commentary focuses on Cactus's own capabilities, market positioning, and acquisition-driven growth rather than learning from rivals' approaches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January 2026 Baker Hughes SPC acquisition transformed Cactus from a U.S.-focused shale equipment provider to a global operation, roughly doubling revenue and adding $600M in Middle East backlog [1]. The earlier FlexSteel spoolable pipe acquisition expanded capabilities beyond traditional wellhead equipment. These are significant adjacent expansions, not transformative reinventions of the business model, but they demonstrate a company willing to evolve its scope and geography substantially.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$344.5M Baker Hughes SPC acquisition was a bold bet — Cactus roughly doubled its revenue base, expanded internationally into the Middle East, took on $600M in acquired backlog, and accepted near-term earnings dilution (Q1 2026 showed a GAAP loss from JV accretion) in pursuit of long-term global scale [1]. Management's willingness to temporarily sacrifice GAAP profitability and increase operational complexity for a strategic transformation demonstrates genuine courage. The 7% dividend increase alongside Q2 2026 results further signals confidence in sustainable cash generation despite integration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Cactus is a well-capitalized oilfield equipment company that dramatically expanded its scale through the transformative $344.5M Baker Hughes Surface Pressure Control acquisition, which added $600M in international backlog and roughly doubled the revenue base [1]. Q2 2026 revenue reached $449.5M with adjusted earnings of $0.93 per share beating the $0.63 consensus by 48%, and adjusted EBITDA margins expanded to 29.5% [1]. The balance sheet is exceptional: D/E of just 3.3% with $365.8M in cash provides financial safety and flexibility for further acquisitions or to weather commodity cycles. Forward P/E of 17.17 reflects reasonable valuation for a company with 64% YoY revenue growth and an estimated 5-year revenue CAGR of 15%. The Inspire ALIGNED score of 39 and family-led culture since 2011 add qualitative appeal [4].</w:t>
      </w:r>
    </w:p>
    <w:p>
      <w:pPr>
        <w:spacing w:after="120"/>
      </w:pPr>
      <w:r>
        <w:rPr>
          <w:rFonts w:ascii="Calibri" w:hAnsi="Calibri"/>
          <w:b w:val="0"/>
          <w:color w:val="3A4A28"/>
          <w:sz w:val="20"/>
        </w:rPr>
        <w:t>The WATCH recommendation reflects cyclical exposure and valuation normalization risk. The trailing P/E of 52.3 is distorted by Q1 2026 GAAP losses from JV accretion charges, but the normalized forward P/E of 17.17 may not offer sufficient margin of safety for a cyclical oilfield equipment company [4]. Profit margin of 12.0% is below the 20% target, reflecting the capital-intensive nature of equipment manufacturing and field services. The oilfield services industry is inherently cyclical — tied to oil prices, rig counts, and E&amp;P capital spending — and a sustained oil price decline below $60/bbl would compress both revenue and margins simultaneously. The SPC integration creates execution risk as Cactus absorbs a business with 85% Middle East revenue concentration, exposing the company to geopolitical risk in a region where it has limited operating history. Insider ownership of only 0.97% is low for a founder-led company, and no meaningful insider buying was identified to confirm management conviction at current prices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Cactus International integration delivering revenue synergies and margin improvement as the combined Baker Hughes SPC operation achieves scale economies — Q2 adjusted EBITDA margins already expanded to 29.5% from 25.8% in Q1 [1]</w:t>
      </w:r>
    </w:p>
    <w:p>
      <w:pPr>
        <w:spacing w:before="40" w:after="40"/>
        <w:ind w:left="283"/>
      </w:pPr>
      <w:r>
        <w:rPr>
          <w:rFonts w:ascii="Calibri" w:hAnsi="Calibri"/>
          <w:b/>
          <w:color w:val="4A6B25"/>
          <w:sz w:val="20"/>
        </w:rPr>
        <w:t xml:space="preserve">2. </w:t>
      </w:r>
      <w:r>
        <w:rPr>
          <w:rFonts w:ascii="Calibri" w:hAnsi="Calibri"/>
          <w:b w:val="0"/>
          <w:color w:val="3A4A28"/>
          <w:sz w:val="20"/>
        </w:rPr>
        <w:t>Rising energy demand from AI data center construction and global electrification driving increased drilling activity and wellhead equipment demand across U.S. unconventional and Middle East markets [2]</w:t>
      </w:r>
    </w:p>
    <w:p>
      <w:pPr>
        <w:spacing w:before="40" w:after="40"/>
        <w:ind w:left="283"/>
      </w:pPr>
      <w:r>
        <w:rPr>
          <w:rFonts w:ascii="Calibri" w:hAnsi="Calibri"/>
          <w:b/>
          <w:color w:val="4A6B25"/>
          <w:sz w:val="20"/>
        </w:rPr>
        <w:t xml:space="preserve">3. </w:t>
      </w:r>
      <w:r>
        <w:rPr>
          <w:rFonts w:ascii="Calibri" w:hAnsi="Calibri"/>
          <w:b w:val="0"/>
          <w:color w:val="3A4A28"/>
          <w:sz w:val="20"/>
        </w:rPr>
        <w:t>FlexSteel spoolable pipe technology gaining market share in production and gathering pipeline applications as operators seek faster, lower-cost pipe installation solutions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Oilfield services cyclicality creates binary risk — a sustained oil price decline below $60/bbl or a meaningful drop in U.S. rig counts would compress revenue, margins, and valuation multiples across both Pressure Control and Spoolable Technologies segments [1]</w:t>
      </w:r>
    </w:p>
    <w:p>
      <w:pPr>
        <w:spacing w:before="40" w:after="40"/>
        <w:ind w:left="283"/>
      </w:pPr>
      <w:r>
        <w:rPr>
          <w:rFonts w:ascii="Calibri" w:hAnsi="Calibri"/>
          <w:b/>
          <w:color w:val="4A6B25"/>
          <w:sz w:val="20"/>
        </w:rPr>
        <w:t xml:space="preserve">2. </w:t>
      </w:r>
      <w:r>
        <w:rPr>
          <w:rFonts w:ascii="Calibri" w:hAnsi="Calibri"/>
          <w:b w:val="0"/>
          <w:color w:val="3A4A28"/>
          <w:sz w:val="20"/>
        </w:rPr>
        <w:t>Baker Hughes SPC integration execution risk with 85% Middle East revenue concentration exposing Cactus to geopolitical disruption, currency risk, and customer concentration in a region where the company has limited operating history [1]</w:t>
      </w:r>
    </w:p>
    <w:p>
      <w:pPr>
        <w:spacing w:before="40" w:after="40"/>
        <w:ind w:left="283"/>
      </w:pPr>
      <w:r>
        <w:rPr>
          <w:rFonts w:ascii="Calibri" w:hAnsi="Calibri"/>
          <w:b/>
          <w:color w:val="4A6B25"/>
          <w:sz w:val="20"/>
        </w:rPr>
        <w:t xml:space="preserve">3. </w:t>
      </w:r>
      <w:r>
        <w:rPr>
          <w:rFonts w:ascii="Calibri" w:hAnsi="Calibri"/>
          <w:b w:val="0"/>
          <w:color w:val="3A4A28"/>
          <w:sz w:val="20"/>
        </w:rPr>
        <w:t>Trailing P/E of 52.3x reflects Q1 GAAP losses and integration charges — if normalized earnings disappoint relative to the $3.62 forward EPS estimate, the stock faces de-rating risk from its current $62 level toward tangible book value of $17.80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Cactus's core business — manufacturing wellhead and pressure control equipment, providing on-site field services for equipment installation and maintenance, and producing spoolable pipe systems (FlexSteel) — is structurally immune to AI disruption [1][2]. These are physical-world operations requiring specialized metallurgy, high-pressure engineering, field crews, and safety-critical equipment that cannot be substituted by software. AI cannot replace a wellhead or install pressure control equipment on a drilling rig. The oil and gas extraction process is inherently physical, and Cactus's products are critical safety infrastructure at well sites globally. A minor exposure exists if AI-optimized drilling reduces the number of wells needed, but this is offset by AI-driven data center construction increasing energy demand. AI Opportunity (0/1): No AI-related revenue was identified. Cactus does not generate revenue from AI products or services, which is expected given the physical nature of oilfield equipment manufacturing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Cactus Q1 &amp; Q2 2026 Earnings Releases — SEC 8-K Filings, Nasdaq, TradingView, Investing.com, May-August 2026</w:t>
      </w:r>
    </w:p>
    <w:p>
      <w:pPr>
        <w:spacing w:before="20" w:after="20"/>
        <w:ind w:left="170"/>
      </w:pPr>
      <w:r>
        <w:rPr>
          <w:rFonts w:ascii="Calibri" w:hAnsi="Calibri"/>
          <w:b/>
          <w:color w:val="4A6B25"/>
          <w:sz w:val="15"/>
        </w:rPr>
        <w:t xml:space="preserve">2. </w:t>
      </w:r>
      <w:r>
        <w:rPr>
          <w:rFonts w:ascii="Calibri" w:hAnsi="Calibri"/>
          <w:b w:val="0"/>
          <w:color w:val="3A4A28"/>
          <w:sz w:val="17"/>
        </w:rPr>
        <w:t>Cactus Inc Company Profile — Umbrex, HFI Consulting, Inc. Best-Led Companies,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Cactus Sustainability Report and ESG Commitments — cactuswhd.com, Sustainalytics ESG Rating,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WHD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