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WIT</w:t>
      </w:r>
      <w:r>
        <w:rPr>
          <w:rFonts w:ascii="Calibri" w:hAnsi="Calibri"/>
          <w:b/>
          <w:color w:val="1A2010"/>
          <w:sz w:val="40"/>
        </w:rPr>
        <w:t xml:space="preserve">  Wipro Limited</w:t>
      </w:r>
    </w:p>
    <w:p>
      <w:pPr>
        <w:spacing w:after="120"/>
      </w:pPr>
      <w:r>
        <w:rPr>
          <w:rFonts w:ascii="Calibri" w:hAnsi="Calibri"/>
          <w:b/>
          <w:color w:val="6E8450"/>
          <w:sz w:val="18"/>
        </w:rPr>
        <w:t>DIVIDEND SLEEVE · 2026-10-14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NYSE · India</w:t>
      </w:r>
    </w:p>
    <w:p>
      <w:pPr>
        <w:spacing w:after="80"/>
      </w:pPr>
      <w:r>
        <w:rPr>
          <w:rFonts w:ascii="Calibri" w:hAnsi="Calibri"/>
          <w:b w:val="0"/>
          <w:color w:val="3A4A28"/>
          <w:sz w:val="20"/>
        </w:rPr>
        <w:t>Wipro Limited is a global IT consulting and business process services company headquartered in Bengaluru, India, operating through IT Services and IT Products segments across banking, healthcare, manufacturing, and technology sectors. Q1 FY27 (ended June 2026) delivered gross revenue of $2.59B (+10.6% YoY in INR, +1.0% YoY in USD IT services), with IT services operating margin of 16.0%. FY26 revenue was INR 926.2B (+4% YoY), net profit INR 132B. CEO Srini Pallia leads a $1B AI transformation through Wipro ai360. 150B INR share buyback approved. ADR trades on NYSE at $1.80.</w:t>
      </w:r>
    </w:p>
    <w:p>
      <w:r>
        <w:rPr>
          <w:rFonts w:ascii="Calibri" w:hAnsi="Calibri"/>
          <w:b/>
          <w:color w:val="6E8450"/>
          <w:sz w:val="18"/>
        </w:rPr>
        <w:t>230,000 Employees · https://www.wipro.com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Wipro launched a new AI-Native Business and Platforms Unit in 2026 to complement core services and drive next-phase growth, representing a meaningful strategic pivot from labor arbitrage to consulting-led, AI-powered engagements [2]. However, this transformation is incremental — Wipro has consistently lagged TCS and Infosys in growth and deal wins, and IT services revenue grew only 1.0% YoY in USD in Q1 FY27 despite 10.6% reported INR growth driven by currency effects [1]. AI Deployment (1/2): Wipro's Lab45 R&amp;D hub has produced over 50 Agentic AI solutions that automate complex supply chain and customer service workflows. The Applied AI Center of Excellence for Claude models (Anthropic partnership) is shipping AI implementations to enterprise clients [2]. Specific AI revenue quantification is not separately disclosed. Market Share (0/2): Wipro is the fourth-largest Indian IT services firm by revenue behind TCS, Infosys, and HCL Tech, competing for large enterprise deals but lacking category leadership in any specific vertical [1]. Product Pipeline (1/2): AI-Native Business Unit, Wipro Intelligence platform (managing enterprise AI sprawl), and agentic AI solutions are in development, with FY26 total bookings of $16.4B (+14% YoY) and Q1 FY27 large deal bookings of $1,626M (+12.9% QoQ) [1][2]. R&amp;D Intensity (1/1): $1B Wipro ai360 investment plus partnerships with Anthropic and the Indian Institute of Science for frontier technology research represent above-average R&amp;D commitment for IT services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Wipro's 'Spirit of Wipro' values framework emphasizes 'bold thinking and smart risks, driven by big goals but never at the cost of being human,' reflecting the Premji family's values-driven heritage [2]. The 'Five Habits' organizational culture connects the company to a purpose beyond profit, though at the operational level Wipro competes deal-by-deal on price and headcount like other IT services peers. Community Impact (2/2): The Azim Premji Foundation, endowed with over $21B from founder Azim Premji's personal wealth, is one of the largest philanthropic commitments in global history, focused exclusively on Indian education and social development [3]. Wipro achieved 92% reduction in Scope 1 and 2 emissions and 94% renewable energy usage, earning an ESG rating of 74 from ESG Risk Assessments. This represents extraordinary, distinctive community investment. Employee Retention (1/2): Wipro's 230,000-person workforce operates in a high-attrition IT services industry with typical 15-20% annual turnover. CEO Pallia has provided stable leadership since April 2024, and the company's values-driven heritage creates a stronger cultural foundation than many IT services peers [2]. Insider Buying (0/2): CEO Pallia sold shares while receiving stock awards in 2026 — net insider selling pattern. The 150B INR share buyback is corporate capital return, not personal insider conviction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D/E of 27.4% scores 1.0, reflecting strong balance sheet with minimal leverage [4]. ROE of 16.1% just exceeds the 15% target (score 1.0). Forward P/E of 12.0 scores 1.0, attractive for IT services [4]. Profit margin of 13.9% scores 0.70, below the 20% target but solid for the sector. Revenue growth YoY of 10.6% (reported INR basis) scores 1.0, meeting the 10% target, though USD IT services growth was only 1.0% [1]. Revenue 5yr CAGR of approximately 5.3% scores 0.69. Dividend metrics: payout ratio of approximately 55% scores 0.75, 20+ consecutive years paid scores 1.0 with 2x weight (decades of consistent dividends), but inconsistent dividend growth (3 consecutive years, score 0.30) and low 5yr dividend growth CAGR of approximately 1.0% (score 0.17 with 2x weight) weigh on the dividend component [4]. Weighted sum: 8.77 / max 12.0 = 7.3 → 7. Daily dollar volume of approximately $15.2M clears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Wipro demonstrates mixed qualities but ultimately plays a finite game at the operational level. The Premji family's extraordinary philanthropic legacy ($21B foundation) and long-term ownership orientation provide genuine purpose beyond profit, but the business reality is quarterly competition in a commoditized IT services market where Wipro has consistently ranked fourth among Indian IT majors. CEO Pallia's AI-first strategy is a necessary survival move that mirrors peer strategies rather than establishing differentiated positioning. The historical transformation from vegetable oil to IT shows existential flexibility, but recent evolution has been incremental.</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Wipro's 'Spirit of Wipro' values framework and the Premji Foundation's $21B commitment to education provide a more compelling purpose than most IT services competitors [3]. However, at the operational level, Wipro competes deal-by-deal on price and headcount, and the stated mission does not distinctively shape strategic decisions. The cause exists in the ownership structure and philanthropic legacy but doesn't permeate the business model in ways that differentiate from TCS, Infosys, or HCL Tech.</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describe a 'collaborative, diverse culture,' and Wipro emphasizes employee empowerment and upskilling through the 'Five Habits' framework [2]. CEO Pallia has provided stable leadership since April 2024, and the Premji family's values-driven heritage creates a stronger cultural foundation than many IT services peers. However, industry-wide 15-20% annual attrition, AI-related job anxiety among the 230,000-person workforce, and historical cultural friction from the Capco acquisition limit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Wipro's competitive positioning focuses on 'winning' large deals against TCS, Infosys, and Accenture rather than learning from their strengths. The company has consistently ranked behind peers in growth and margins without demonstrating strategic learning from the competitive gap [1]. Management commentary emphasizes deal pipeline size and bookings growth rather than self-improvement driven by rival excellence.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Wipro's multi-decade transformation from a vegetable oil manufacturer (founded 1945) to a technology conglomerate to a focused IT services company represents remarkable long-horizon adaptation. The current pivot from pure labor arbitrage toward a consulting-led, AI-powered operating model, including the new AI-Native Business Unit, shows ongoing evolution [2]. However, the AI pivot is incremental adaptation shared across all IT services peers, not a transformative reinvention unique to Wipro.</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$1B Wipro ai360 investment and commitment to the AI-Native Business Unit represent meaningful capital allocation bets on AI transformation [2]. The 150B INR share buyback and Anthropic partnership show willingness to invest during industry uncertainty. However, these moves follow the industry rather than leading it — TCS and Infosys made similar AI pivots earlier. The decisions serve necessary strategic evolution rather than costly principled stances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Wipro at $1.80 offers a 4.3% dividend yield at a reasonable 12.0x forward P/E with minimal debt (D/E 27.4%) and a net cash balance sheet, making it one of the most accessible income plays in global IT services [4]. FY26 total bookings rose 14% to $16.4B, and Q1 FY27 large deal bookings of $1,626M (+12.9% QoQ) signal improving demand [1]. CEO Pallia's AI-first strategy — the $1B ai360 ecosystem, Anthropic partnership, Lab45's 50+ Agentic AI solutions, and the new AI-Native Business Unit — positions Wipro to capture enterprise AI transformation spending [2]. The 150B INR share buyback (~5.7% of equity) and consistent dividend demonstrate shareholder-friendly capital allocation. Wipro achieved 92% reduction in Scope 1 and 2 emissions, with Sustainalytics rating ESG management as 'strong' [3].</w:t>
      </w:r>
    </w:p>
    <w:p>
      <w:pPr>
        <w:spacing w:after="120"/>
      </w:pPr>
      <w:r>
        <w:rPr>
          <w:rFonts w:ascii="Calibri" w:hAnsi="Calibri"/>
          <w:b w:val="0"/>
          <w:color w:val="3A4A28"/>
          <w:sz w:val="20"/>
        </w:rPr>
        <w:t>The bear case centers on existential AI disruption risk to the labor-based IT services model. AI-powered code generation, automated testing, and agentic platforms could reduce demand for 30-40% of traditional IT services tasks within 3-5 years, structurally threatening the 230,000-person workforce model that generates Wipro's revenue [1]. IT services segment revenue grew only 1.0% YoY in USD in Q1 FY27, and the gap between 10.6% reported INR growth and 1.0% USD growth highlights currency flattery masking organic weakness. Wipro has persistently underperformed TCS and Infosys in growth, margins, and deal wins — the stock's discount to peers may be structurally warranted rather than a buying opportunity. CEO Pallia sold shares while receiving stock awards, indicating net insider selling. The company's own CTO describes AI as the biggest disruptor for the industry, acknowledging the threat [2]. The 5-year dividend growth CAGR of just 1.0% provides minimal income growth for long-term holders.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scaling of AI consulting through Anthropic partnership, Lab45, and the new AI-Native Business Unit, with AI-powered deals potentially driving 20%+ of new bookings by FY28, helping Wipro offset labor-model disruption [2]</w:t>
      </w:r>
    </w:p>
    <w:p>
      <w:pPr>
        <w:spacing w:before="40" w:after="40"/>
        <w:ind w:left="283"/>
      </w:pPr>
      <w:r>
        <w:rPr>
          <w:rFonts w:ascii="Calibri" w:hAnsi="Calibri"/>
          <w:b/>
          <w:color w:val="4A6B25"/>
          <w:sz w:val="20"/>
        </w:rPr>
        <w:t xml:space="preserve">2. </w:t>
      </w:r>
      <w:r>
        <w:rPr>
          <w:rFonts w:ascii="Calibri" w:hAnsi="Calibri"/>
          <w:b w:val="0"/>
          <w:color w:val="3A4A28"/>
          <w:sz w:val="20"/>
        </w:rPr>
        <w:t>Enterprise IT services spending recovery as AI adoption drives modernization demand — FY26 total bookings of $16.4B (+14%) and Q1 FY27 large deal bookings of $1,626M signal improving pipeline [1]</w:t>
      </w:r>
    </w:p>
    <w:p>
      <w:pPr>
        <w:spacing w:before="40" w:after="40"/>
        <w:ind w:left="283"/>
      </w:pPr>
      <w:r>
        <w:rPr>
          <w:rFonts w:ascii="Calibri" w:hAnsi="Calibri"/>
          <w:b/>
          <w:color w:val="4A6B25"/>
          <w:sz w:val="20"/>
        </w:rPr>
        <w:t xml:space="preserve">3. </w:t>
      </w:r>
      <w:r>
        <w:rPr>
          <w:rFonts w:ascii="Calibri" w:hAnsi="Calibri"/>
          <w:b w:val="0"/>
          <w:color w:val="3A4A28"/>
          <w:sz w:val="20"/>
        </w:rPr>
        <w:t>Margin expansion from delivery automation reducing headcount dependency while maintaining revenue per engagement, potentially lifting IT services operating margin from 16.0% toward 18-19% by FY28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structural disruption to the IT services labor model — generative AI and agentic platforms could reduce demand for 30-40% of traditional tasks, threatening the billable-hours revenue model supporting 230,000 employees [1][2]</w:t>
      </w:r>
    </w:p>
    <w:p>
      <w:pPr>
        <w:spacing w:before="40" w:after="40"/>
        <w:ind w:left="283"/>
      </w:pPr>
      <w:r>
        <w:rPr>
          <w:rFonts w:ascii="Calibri" w:hAnsi="Calibri"/>
          <w:b/>
          <w:color w:val="4A6B25"/>
          <w:sz w:val="20"/>
        </w:rPr>
        <w:t xml:space="preserve">2. </w:t>
      </w:r>
      <w:r>
        <w:rPr>
          <w:rFonts w:ascii="Calibri" w:hAnsi="Calibri"/>
          <w:b w:val="0"/>
          <w:color w:val="3A4A28"/>
          <w:sz w:val="20"/>
        </w:rPr>
        <w:t>Near-term organic growth weakness with IT services at only +1.0% YoY in USD despite +10.6% reported INR growth, exposing currency flattery and the difficulty of translating AI investments into top-line acceleration [1]</w:t>
      </w:r>
    </w:p>
    <w:p>
      <w:pPr>
        <w:spacing w:before="40" w:after="40"/>
        <w:ind w:left="283"/>
      </w:pPr>
      <w:r>
        <w:rPr>
          <w:rFonts w:ascii="Calibri" w:hAnsi="Calibri"/>
          <w:b/>
          <w:color w:val="4A6B25"/>
          <w:sz w:val="20"/>
        </w:rPr>
        <w:t xml:space="preserve">3. </w:t>
      </w:r>
      <w:r>
        <w:rPr>
          <w:rFonts w:ascii="Calibri" w:hAnsi="Calibri"/>
          <w:b w:val="0"/>
          <w:color w:val="3A4A28"/>
          <w:sz w:val="20"/>
        </w:rPr>
        <w:t>Persistent competitive gap versus TCS and Infosys in growth, margins, and large deal wins could widen as AI transformation spending concentrates with market leaders who invested in AI capabilities earlier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Wipro's core business of IT services delivery — application development, maintenance, testing, and infrastructure management — faces direct substitution risk from AI-powered code generation, automated testing, and agentic AI platforms that enable enterprises to accomplish more with fewer services workers [1][2]. The 230,000-person workforce is both the asset and the liability: as AI reduces billable-hours-per-project, the labor-based revenue model faces structural compression. Industry analysts and the company's own leadership call AI 'the biggest disruptor today' for Indian IT services. Wipro is actively adapting with the $1B ai360 ecosystem, Lab45's 50+ Agentic AI solutions, and the Anthropic partnership — but the fundamental question is whether adaptation outpaces disruption. AI Opportunity (1/1): Wipro generates meaningful AI-related revenue through its consulting-led AI transformation practice, Lab45 Agentic AI solutions, Applied AI CoE with Anthropic, and enterprise AI implementation services. FY26 total bookings of $16.4B (+14% YoY) increasingly include AI-centric engagements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Wipro Q1 FY27 and FY26 Results — Q1 Gross Revenue INR 244.8B ($2.59B, +10.6% YoY INR, +1.0% USD IT Services), FY26 Revenue INR 926.2B (+4%), Net Profit INR 132B, Total Bookings $16.4B (+14%), Large Deals $1,626M — SEC Filing, Angel One, Deccan Herald, July 2026</w:t>
      </w:r>
    </w:p>
    <w:p>
      <w:pPr>
        <w:spacing w:before="20" w:after="20"/>
        <w:ind w:left="170"/>
      </w:pPr>
      <w:r>
        <w:rPr>
          <w:rFonts w:ascii="Calibri" w:hAnsi="Calibri"/>
          <w:b/>
          <w:color w:val="4A6B25"/>
          <w:sz w:val="15"/>
        </w:rPr>
        <w:t xml:space="preserve">2. </w:t>
      </w:r>
      <w:r>
        <w:rPr>
          <w:rFonts w:ascii="Calibri" w:hAnsi="Calibri"/>
          <w:b w:val="0"/>
          <w:color w:val="3A4A28"/>
          <w:sz w:val="17"/>
        </w:rPr>
        <w:t>Wipro AI Strategy and Leadership — CEO Srini Pallia, $1B ai360 Investment, Lab45 50+ Agentic AI Solutions, AI-Native Business Unit, Anthropic Applied AI CoE, Five Habits Culture — Wipro Newsroom, Business Today, 2024-2026</w:t>
      </w:r>
    </w:p>
    <w:p>
      <w:pPr>
        <w:spacing w:before="20" w:after="20"/>
        <w:ind w:left="170"/>
      </w:pPr>
      <w:r>
        <w:rPr>
          <w:rFonts w:ascii="Calibri" w:hAnsi="Calibri"/>
          <w:b/>
          <w:color w:val="4A6B25"/>
          <w:sz w:val="15"/>
        </w:rPr>
        <w:t xml:space="preserve">3. </w:t>
      </w:r>
      <w:r>
        <w:rPr>
          <w:rFonts w:ascii="Calibri" w:hAnsi="Calibri"/>
          <w:b w:val="0"/>
          <w:color w:val="3A4A28"/>
          <w:sz w:val="17"/>
        </w:rPr>
        <w:t>Wipro ESG — 92% Scope 1&amp;2 Emissions Reduction, 94% Renewable Energy, ESG Rating 74, Sustainalytics Strong Management Rating, Azim Premji Foundation $21B — Sustainalytics, People Matters, Wipro Corporate, 2026</w:t>
      </w:r>
    </w:p>
    <w:p>
      <w:pPr>
        <w:spacing w:before="20" w:after="20"/>
        <w:ind w:left="170"/>
      </w:pPr>
      <w:r>
        <w:rPr>
          <w:rFonts w:ascii="Calibri" w:hAnsi="Calibri"/>
          <w:b/>
          <w:color w:val="4A6B25"/>
          <w:sz w:val="15"/>
        </w:rPr>
        <w:t xml:space="preserve">4. </w:t>
      </w:r>
      <w:r>
        <w:rPr>
          <w:rFonts w:ascii="Calibri" w:hAnsi="Calibri"/>
          <w:b w:val="0"/>
          <w:color w:val="3A4A28"/>
          <w:sz w:val="17"/>
        </w:rPr>
        <w:t>Wipro Financial Data — ADR $1.80, P/E 12.86, Forward P/E 12.01, D/E 27.4%, ROE 16.1%, Profit Margin 13.9%, Dividend Yield ~4.3%, Avg Volume 8.43M — Yahoo Finance,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