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WLK</w:t>
      </w:r>
      <w:r>
        <w:rPr>
          <w:rFonts w:ascii="Calibri" w:hAnsi="Calibri"/>
          <w:b/>
          <w:color w:val="1A2010"/>
          <w:sz w:val="40"/>
        </w:rPr>
        <w:t xml:space="preserve">  Westlake Corporation</w:t>
      </w:r>
    </w:p>
    <w:p>
      <w:pPr>
        <w:spacing w:after="120"/>
      </w:pPr>
      <w:r>
        <w:rPr>
          <w:rFonts w:ascii="Calibri" w:hAnsi="Calibri"/>
          <w:b/>
          <w:color w:val="6E8450"/>
          <w:sz w:val="18"/>
        </w:rPr>
        <w:t>DIVIDEND SLEEVE · 2026-09-22 · Inspire: 24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Westlake Corporation manufactures and markets performance and essential materials (PEM segment: polyethylene, PVC, chlor-alkali) and housing and infrastructure products (HIP segment: pipe, fittings, siding, trim, stone). Founded by the Chao family, the company is led by CEO Albert Chao with James Chao as Chairman. Westlake operates globally across the US, Canada, Germany, China, and other markets. Q2 2026 revenue was $3.27B with net income of $260M, as the company executes a $600M EBITDA improvement plan for its PEM segment. Revenue is recovering from a cyclical trough, with PEM EBITDA margin improving from 3% to 21% YoY.</w:t>
      </w:r>
    </w:p>
    <w:p>
      <w:r>
        <w:rPr>
          <w:rFonts w:ascii="Calibri" w:hAnsi="Calibri"/>
          <w:b/>
          <w:color w:val="6E8450"/>
          <w:sz w:val="18"/>
        </w:rPr>
        <w:t>14,600 Employees · https://www.westlake.com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Westlake's most significant move was the $2.15B acquisition of Boral Industries' North American building products business in 2021, expanding from pure chemicals into housing and infrastructure [1]. While strategically meaningful, this was an acquisition of an existing business rather than organic product innovation or business model transformation. The core PVC/polyethylene/chlor-alkali business is fundamentally unchanged. AI Deployment (0/2): No evidence of AI-powered products, AI-driven cost savings, or AI deployment with measurable results at Westlake Corporation. The company's operations are traditional large-scale chemical manufacturing [2]. Market Share (1/2): Westlake is a meaningful vertically integrated player in PVC and polyethylene with significant North American production capacity, and the HIP segment holds strong positions in pipe and building products [1]. However, the company competes against larger chemical conglomerates (Dow, LyondellBasell) and does not hold dominant category leadership. Product Pipeline (1/2): The $600M EBITDA improvement plan for the PEM segment provides a specific financial target with operational restructuring milestones [1]. HIP segment revenue guidance of $4.4-4.6B for FY2026 with 19-21% EBITDA margins. These are profitability improvement targets rather than next-gen product launches. R&amp;D Intensity (0/1): Commodity chemicals manufacturing has below-average R&amp;D intensity. Westlake's innovation focus is on process optimization and cost reduction rather than breakthrough products.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Westlake states it is 'committed to acting in a safe, ethical, environmentally, and socially responsible manner in everything we do, being true to the company's longstanding values' [4]. This is boilerplate corporate language interchangeable with any industrial company. No distinctive purpose articulated beyond responsible operations. Community Impact (1/2): Westlake publishes comprehensive ESG reports (sixth annual update in 2022) aligned with GRI, SASB, and TCFD standards, with five new ESG goals covering water, health &amp; safety, community engagement, diversity &amp; inclusion, and circular economy [4]. General corporate responsibility programs without specific dollar amounts for distinctive charitable initiatives. Employee Retention (1/2): The Chao family (Albert as CEO, James as Chairman) has provided multi-decade leadership stability, creating institutional continuity rare in the chemicals industry [2]. However, Glassdoor reviews (63% recommend) reveal mixed culture — some employees cite 'poor and toxic culture,' 'outdated practices,' and leadership positions filled through 'seniority or favoritism' rather than merit [2]. Insider Buying (0/2): The Chao family controls Westlake through significant share ownership, but no evidence of meaningful net insider buying on the open market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63.8% is below the 70% target (score 1.0), reflecting conservative balance sheet management by the Chao family [5]. Revenue growth YoY of 10.8% exceeds the 10% target (score 1.0), driven by the PEM segment recovery with Q2 2026 EBITDA margin improving from 3% to 21% [1]. Forward P/E of 21.0 is slightly above the 20x target (score 0.98). However, trailing profitability is deeply negative: ROE of -11.9% and profit margin of -10.9% both score 0.0, reflecting large charges or cyclical trough in the commodity chemicals business [5]. 5yr revenue CAGR estimated at ~0% scores 0.33 as commodity cycles created volatile revenue with no net growth from 2021 to 2026. Payout ratio of 69.4% scores 0.51. The dividend story is the strongest component: 23 consecutive years paid (score 1.0 at 2x weight), 13 consecutive years of growth (score 1.0), and 13.4% 5yr dividend growth CAGR (score 1.0 at 2x weight). Liquidity clears the floor at $68M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Westlake operates as a family-controlled industrial conglomerate optimized for capital efficiency and commodity cycle management rather than a purpose-driven organization built to endure through transformative purpose. The Chao family's multi-decade stewardship provides unusual leadership continuity, but the corporate culture shows signs of strain — Glassdoor reviews cite outdated practices, favoritism, and toxic pockets. The company's strategic decisions (Boral acquisition, PEM restructuring, $600M EBITDA improvement) are financially motivated rather than guided by a Just Cause. Sinek would note this is a company playing to win quarterly earnings, not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Westlake's articulated purpose — acting safely, ethically, and responsibly while manufacturing chemicals and building products — is a compliance-oriented statement rather than a vision of a better future [4]. The company exists to manufacture commodity materials profitably under family control. While 'essential materials for modern life' has inherent value, Westlake does not articulate this connection in a way that inspires stakeholders or drives strategic decisions. The $600M EBITDA improvement plan is a financial engineering exercise, not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significant trust deficits — employees cite 'subpar, poor and toxic culture,' 'too much poor legacy culture and outdated practices,' and leadership roles filled 'due to seniority or favoritism' rather than merit [2]. Only 63% of employees recommend working at Westlake. Family control (Chao brothers as CEO and Chairman) may concentrate decision-making and limit empowerment of professional management. The manufacturing environment with 14,600 employees across global operations requires strong organizational trust that employee feedback suggests is inconsistent.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Westlake competes in commodity chemicals markets where competition is price-based. No evidence of management language acknowledging competitors' strengths or using competitive dynamics for self-improvement. The company's competitive strategy centers on vertical integration and cost optimization — finite game approaches focused on winning on cost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$2.15B acquisition of Boral's North American building products business in 2021 was a meaningful strategic expansion — diversifying Westlake from a pure commodity chemicals producer into an integrated materials and building products company [1]. The HIP segment now generates revenue guidance of $4.4-4.6B with 19-21% EBITDA margins, significantly diversifying earnings. Earlier, the 2016 Axiall acquisition roughly doubled chemical capacity. These represent incremental strategic evolution through acquisitions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$600M PEM EBITDA improvement plan involves restructuring a core segment during a cyclical trough — a decision that requires short-term pain (restructuring charges, negative trailing earnings) for long-term margin improvement [1]. The Boral acquisition invested $2.15B to diversify into building products during a housing cycle. The Chao family's consistent dividend growth through 13 consecutive years, including through commodity downturns, demonstrates commitment to long-term shareholder return. However, these are financially rational decisions rather than costly stands for principle.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Westlake offers a cyclical recovery story supported by a fortress balance sheet and 23-year dividend track record. Q2 2026 marked a dramatic turnaround — net income of $260M vs. a loss the prior year, with PEM segment EBITDA margin surging from 3% to 21% as the $600M EBITDA improvement plan gains traction [1]. D/E of 63.8% is among the lowest in the chemicals sector, and the 3.15% dividend yield has grown at a 13.4% 5yr CAGR across 13 consecutive years of increases, demonstrating the Chao family's commitment to shareholder returns through commodity cycles [5]. The HIP segment provides stability with FY2026 guidance of $4.4-4.6B revenue at 19-21% EBITDA margins, diversifying away from pure commodity chemical exposure. At 21x forward earnings, the stock prices in recovery but not full normalization.</w:t>
      </w:r>
    </w:p>
    <w:p>
      <w:pPr>
        <w:spacing w:after="120"/>
      </w:pPr>
      <w:r>
        <w:rPr>
          <w:rFonts w:ascii="Calibri" w:hAnsi="Calibri"/>
          <w:b w:val="0"/>
          <w:color w:val="3A4A28"/>
          <w:sz w:val="20"/>
        </w:rPr>
        <w:t>The bear case centers on commodity cyclicality, current profitability weakness, and cultural concerns. Trailing ROE of -11.9% and profit margin of -10.9% reflect the severity of the commodity downturn that pushed WLK into losses — the 69.4% payout ratio on negative earnings raises dividend sustainability questions if the recovery stalls [5]. Revenue declined from $15.8B (2022 peak) to $11.3B TTM, a 28% decline that reflects the commodity cycle's brutal amplitude and may not fully reverse. Forward P/E of 21x assumes normalized earnings materialize, and any disappointment in the PEM restructuring or PVC pricing weakness could compress the multiple. Glassdoor culture reviews citing 'toxic culture' and 'favoritism' in a 14,600-person manufacturing operation create execution risk for the operational improvement agenda [2]. Chemical companies face increasing environmental scrutiny, and while no specific controversies were identified, PVC manufacturing is inherently emissions-intensive. Family control by the Chao brothers limits governance independence and shareholder influence.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PEM segment $600M EBITDA improvement plan execution — Q2 2026 PEM EBITDA margin already improved from 3% to 21% YoY, and full achievement of the target would transform the profitability profile and justify a higher valuation multiple [1]</w:t>
      </w:r>
    </w:p>
    <w:p>
      <w:pPr>
        <w:spacing w:before="40" w:after="40"/>
        <w:ind w:left="283"/>
      </w:pPr>
      <w:r>
        <w:rPr>
          <w:rFonts w:ascii="Calibri" w:hAnsi="Calibri"/>
          <w:b/>
          <w:color w:val="4A6B25"/>
          <w:sz w:val="20"/>
        </w:rPr>
        <w:t xml:space="preserve">2. </w:t>
      </w:r>
      <w:r>
        <w:rPr>
          <w:rFonts w:ascii="Calibri" w:hAnsi="Calibri"/>
          <w:b w:val="0"/>
          <w:color w:val="3A4A28"/>
          <w:sz w:val="20"/>
        </w:rPr>
        <w:t>HIP segment stability with $4.4-4.6B revenue guidance at 19-21% EBITDA margins provides a floor that supports dividend growth even during chemical industry cyclical troughs, reducing earnings volatility [1]</w:t>
      </w:r>
    </w:p>
    <w:p>
      <w:pPr>
        <w:spacing w:before="40" w:after="40"/>
        <w:ind w:left="283"/>
      </w:pPr>
      <w:r>
        <w:rPr>
          <w:rFonts w:ascii="Calibri" w:hAnsi="Calibri"/>
          <w:b/>
          <w:color w:val="4A6B25"/>
          <w:sz w:val="20"/>
        </w:rPr>
        <w:t xml:space="preserve">3. </w:t>
      </w:r>
      <w:r>
        <w:rPr>
          <w:rFonts w:ascii="Calibri" w:hAnsi="Calibri"/>
          <w:b w:val="0"/>
          <w:color w:val="3A4A28"/>
          <w:sz w:val="20"/>
        </w:rPr>
        <w:t>3.15% dividend yield with 13 consecutive years of growth at a 13.4% 5yr CAGR offers income investors a compelling yield-plus-growth combination backed by a 63.8% D/E balance sheet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chemical cyclicality — revenue declined 28% from $15.8B (2022 peak) to $11.3B TTM, and the PEM segment's profitability depends heavily on polyethylene and PVC pricing that Westlake does not control [1][5]</w:t>
      </w:r>
    </w:p>
    <w:p>
      <w:pPr>
        <w:spacing w:before="40" w:after="40"/>
        <w:ind w:left="283"/>
      </w:pPr>
      <w:r>
        <w:rPr>
          <w:rFonts w:ascii="Calibri" w:hAnsi="Calibri"/>
          <w:b/>
          <w:color w:val="4A6B25"/>
          <w:sz w:val="20"/>
        </w:rPr>
        <w:t xml:space="preserve">2. </w:t>
      </w:r>
      <w:r>
        <w:rPr>
          <w:rFonts w:ascii="Calibri" w:hAnsi="Calibri"/>
          <w:b w:val="0"/>
          <w:color w:val="3A4A28"/>
          <w:sz w:val="20"/>
        </w:rPr>
        <w:t>Dividend sustainability concern — the 69.4% payout ratio combined with trailing negative ROE (-11.9%) and negative profit margin (-10.9%) means the current dividend is being paid from balance sheet strength rather than current earnings, creating risk if the commodity recovery is slower than expected [5]</w:t>
      </w:r>
    </w:p>
    <w:p>
      <w:pPr>
        <w:spacing w:before="40" w:after="40"/>
        <w:ind w:left="283"/>
      </w:pPr>
      <w:r>
        <w:rPr>
          <w:rFonts w:ascii="Calibri" w:hAnsi="Calibri"/>
          <w:b/>
          <w:color w:val="4A6B25"/>
          <w:sz w:val="20"/>
        </w:rPr>
        <w:t xml:space="preserve">3. </w:t>
      </w:r>
      <w:r>
        <w:rPr>
          <w:rFonts w:ascii="Calibri" w:hAnsi="Calibri"/>
          <w:b w:val="0"/>
          <w:color w:val="3A4A28"/>
          <w:sz w:val="20"/>
        </w:rPr>
        <w:t>Cultural challenges — Glassdoor reviews citing 'toxic culture,' 'outdated practices,' and 'favoritism' in leadership roles across a 14,600-employee manufacturing operation could undermine execution of the $600M EBITDA improvement plan that requires operational discipline and workforce engagement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Westlake manufactures physical commodity chemicals (PVC, polyethylene, caustic soda) and building products (pipe, fittings, siding) — products that AI structurally cannot replace [1]. Chemical manufacturing requires specialized facilities, proprietary process knowledge, and massive capital investment that creates physical-world moats. Housing and infrastructure demand is driven by demographics, construction activity, and building codes, not technology substitution. AI may improve process efficiency (predictive maintenance, yield optimization) but does not threaten core demand for physical materials. The PEM segment benefits if AI data center construction drives demand for building materials. However, commodity chemicals face pricing pressure from global competition, trade policy, and feedstock costs — risks that exist independently of AI. AI Opportunity (0/1): Westlake does not generate quantifiable revenue from AI-related products or services. Any AI demand benefit (e.g., data center construction requiring PVC pipe) is highly indirect and not quantified by the company or analysts.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Westlake Corporation Q2 2026 Results — Revenue $3.27B, EPS $2.01 (beat $1.86 estimate), Net Income $260M, EBITDA $679M (+100% YoY), PEM Margin 3%→21%, HIP Guidance $4.4-4.6B at 19-21% EBITDA, $600M PEM Improvement Plan — Investing.com, TradingView, GlobalNewswire, SEC 10-Q, August 2026</w:t>
      </w:r>
    </w:p>
    <w:p>
      <w:pPr>
        <w:spacing w:before="20" w:after="20"/>
        <w:ind w:left="170"/>
      </w:pPr>
      <w:r>
        <w:rPr>
          <w:rFonts w:ascii="Calibri" w:hAnsi="Calibri"/>
          <w:b/>
          <w:color w:val="4A6B25"/>
          <w:sz w:val="15"/>
        </w:rPr>
        <w:t xml:space="preserve">2. </w:t>
      </w:r>
      <w:r>
        <w:rPr>
          <w:rFonts w:ascii="Calibri" w:hAnsi="Calibri"/>
          <w:b w:val="0"/>
          <w:color w:val="3A4A28"/>
          <w:sz w:val="17"/>
        </w:rPr>
        <w:t>Westlake Corporation Leadership &amp; Culture — CEO Albert Chao, Chairman James Chao, Glassdoor 63% Recommend, Reviews Cite Mixed Culture and Favoritism Concerns, Family-Controlled Company — Glassdoor, Simply Wall St, Westlake.com, 2026</w:t>
      </w:r>
    </w:p>
    <w:p>
      <w:pPr>
        <w:spacing w:before="20" w:after="20"/>
        <w:ind w:left="170"/>
      </w:pPr>
      <w:r>
        <w:rPr>
          <w:rFonts w:ascii="Calibri" w:hAnsi="Calibri"/>
          <w:b/>
          <w:color w:val="4A6B25"/>
          <w:sz w:val="15"/>
        </w:rPr>
        <w:t xml:space="preserve">3. </w:t>
      </w:r>
      <w:r>
        <w:rPr>
          <w:rFonts w:ascii="Calibri" w:hAnsi="Calibri"/>
          <w:b w:val="0"/>
          <w:color w:val="3A4A28"/>
          <w:sz w:val="17"/>
        </w:rPr>
        <w:t>Westlake Corporation FY2025 Results &amp; Strategy — Revenue $11.17B, Commodity Cycle Trough, Boral Acquisition Integration, PEM Restructuring Acceleration — Investor Relations, MSN, February 2026</w:t>
      </w:r>
    </w:p>
    <w:p>
      <w:pPr>
        <w:spacing w:before="20" w:after="20"/>
        <w:ind w:left="170"/>
      </w:pPr>
      <w:r>
        <w:rPr>
          <w:rFonts w:ascii="Calibri" w:hAnsi="Calibri"/>
          <w:b/>
          <w:color w:val="4A6B25"/>
          <w:sz w:val="15"/>
        </w:rPr>
        <w:t xml:space="preserve">4. </w:t>
      </w:r>
      <w:r>
        <w:rPr>
          <w:rFonts w:ascii="Calibri" w:hAnsi="Calibri"/>
          <w:b w:val="0"/>
          <w:color w:val="3A4A28"/>
          <w:sz w:val="17"/>
        </w:rPr>
        <w:t>Westlake Corporation ESG — Sixth Annual ESG Report, GRI/SASB/TCFD Reporting, Five New ESG Goals (Water, H&amp;S, Community, D&amp;I, Circular Economy), Carbon Intensity Reduction Commitment — Westlake.com, BusinessWire, 2022-2026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WLK Key Statistics: Forward P/E 20.96x, PEG 1.70, D/E 63.8%, ROE -11.9%, Profit Margin -10.9%, Dividend Yield 3.15%, Revenue Growth 10.8%, Stock Price $67.77, Avg Volume 1.0M,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