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WMB</w:t>
      </w:r>
      <w:r>
        <w:rPr>
          <w:rFonts w:ascii="Calibri" w:hAnsi="Calibri"/>
          <w:b/>
          <w:color w:val="1A2010"/>
          <w:sz w:val="40"/>
        </w:rPr>
        <w:t xml:space="preserve">  The Williams Companies, Inc.</w:t>
      </w:r>
    </w:p>
    <w:p>
      <w:pPr>
        <w:spacing w:after="120"/>
      </w:pPr>
      <w:r>
        <w:rPr>
          <w:rFonts w:ascii="Calibri" w:hAnsi="Calibri"/>
          <w:b/>
          <w:color w:val="6E8450"/>
          <w:sz w:val="18"/>
        </w:rPr>
        <w:t>DIVIDEND SLEEVE · 2026-10-17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NYQ · United States</w:t>
      </w:r>
    </w:p>
    <w:p>
      <w:pPr>
        <w:spacing w:after="80"/>
      </w:pPr>
      <w:r>
        <w:rPr>
          <w:rFonts w:ascii="Calibri" w:hAnsi="Calibri"/>
          <w:b w:val="0"/>
          <w:color w:val="3A4A28"/>
          <w:sz w:val="20"/>
        </w:rPr>
        <w:t>The Williams Companies is an energy infrastructure company operating approximately 32,000 miles of natural gas pipelines, including Transco (the nation's largest natural gas pipeline by volume), along with gathering, processing, and fractionation assets across the Marcellus, Utica, Haynesville, and Rocky Mountain basins. Founded in 1908 and headquartered in Tulsa, Oklahoma, the company operates through Transmission/Power/Gulf, Northeast G&amp;P, West, and Gas &amp; NGL Marketing Services segments. Q2 2026 revenue was $3.05B with adjusted EBITDA of $1.921B (+6% YoY), and management reaffirmed 2026 adjusted EBITDA guidance at the high end of $8.05-$8.35B, citing AI data center and LNG demand [1][2].</w:t>
      </w:r>
    </w:p>
    <w:p>
      <w:r>
        <w:rPr>
          <w:rFonts w:ascii="Calibri" w:hAnsi="Calibri"/>
          <w:b/>
          <w:color w:val="6E8450"/>
          <w:sz w:val="18"/>
        </w:rPr>
        <w:t>5,987 Employees · https://www.williams.com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Williams has expanded its infrastructure footprint through targeted acquisitions (Momentum Midstream linking Haynesville to Gulf Coast LNG/power demand) and organic pipeline expansions (Power Express on Transco reaching 750 Mcf/d for Virginia data center demand) [2]. These are significant for a utility-like business but represent incremental extensions of the existing model, not transformative pivots. AI Deployment (0/2): No AI-powered products shipping. Williams is exploring AI for workforce optimization and data infrastructure, with the HR chief discussing 're-engineering culture, talent, and data infrastructure' for AI at CERAWeek 2026, but no quantified savings or deployed AI products [3]. Market Share (2/2): Williams operates Transco, the nation's largest natural gas pipeline by throughput volume, serving ~15% of U.S. natural gas consumption. The 32,000-mile pipeline network provides irreplaceable physical infrastructure with regulatory moats and long-term contracts [1][2]. Product Pipeline (1/2): Power Express expansion targeting data center power demand, Momentum Midstream acquisition connecting to LNG export facilities, and exploration of integrating renewables with gas turbines and batteries for 24/7 data center uptime — specific projects with visible demand drivers [2][3]. R&amp;D Intensity (0/1): Pipeline operators invest in maintenance capex and expansion, not R&amp;D. No evidence of above-average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Williams articulates a vision of 'Clean Energy for a Secure Future,' positioning natural gas infrastructure as central to the energy transition. The purpose is clear — reliable energy delivery through natural gas — but is not deeply distinctive among midstream operators who all claim clean energy transition roles [3]. The mission identifies what the company does and for whom but lacks the inspirational specificity that would differentiate it from peers. Community Impact (1/2): Williams has established community programs in its Tulsa headquarters region and operational areas, with ESG reporting and a Governance and Sustainability Committee overseeing environmental performance [4]. The company has operated in many of the same communities since 1908, but no specific charitable dollar amounts or distinctive community programs were identified. Employee Retention (1/2): Alan Armstrong served as CEO for 14 years (2011-2025) before an orderly succession to Chad Zamarin, demonstrating strong leadership continuity. The company describes its culture as built on 'doing things the right way,' and board governance was restructured with an independent chairman separating management from oversight [3]. However, no specific voluntary turnover data is available. Insider Buying (0/2): No evidence of meaningful net insider buying by CEO Zamarin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Williams demonstrates strong financial fundamentals anchored by utility-like cash flows. D/E of 200.4% is elevated but scores 0.43 between the 70% target and 300% floor, reflecting the capital-intensive pipeline business model where leverage is standard and supported by long-term fee-based contracts [1]. ROE of 21.5% exceeds the 15% target (score 1.0), reflecting efficient capital deployment. Revenue growth of 7.8% YoY scores 0.93 near the 10% target. Forward P/E of 26.9 scores 0.83 between the 20 target and 60 floor. Profit margin of 24.9% exceeds the 20% target (score 1.0) [1]. Payout ratio of 81.7% is elevated, scoring 0.31 — high relative to the 40% target but sustainable given fee-based cash flow predictability. Consecutive years paid of 45 scores 1.0 (2x weight), reflecting an unbroken dividend history since 1982. Consecutive years growth of 8 (2018-2025) scores 0.80. 5yr dividend growth CAGR of 4.6% scores 0.76 (2x weight) [1]. Daily dollar volume of $518M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Williams shows elements of both finite and infinite thinking. The company has survived 118 years through multiple energy cycles, demonstrating organizational durability, and the orderly CEO succession from Armstrong (14-year tenure) to Zamarin reflects institutional maturity. However, the just cause remains corporate rather than transcendent — 'Clean Energy for a Secure Future' is a positioning statement, not a cause people would sacrifice to advance. The company's strategic pivots have been reactive to market conditions (commodity bust, energy transition, AI demand) rather than cause-driven.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Williams' purpose — 'Clean Energy for a Secure Future' — exists but reads as corporate positioning rather than a genuine just cause. The company has pivoted its strategic narrative multiple times: from conglomerate to pure-play midstream to energy transition enabler to AI power infrastructure [2][3]. While natural gas infrastructure serves an important societal function, the articulation of purpose changes with market narratives rather than driving strategy through them.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Alan Armstrong served 14 years as CEO (2011-2025) before an orderly succession to Chad Zamarin in July 2025, demonstrating strong leadership continuity and succession planning. The company's self-described culture emphasizes 'doing things the right way,' and the recent governance restructuring separating the board chairman from management reflects organizational maturity [3]. However, no specific voluntary turnover data, employee satisfaction scores, or evidence of psychological safety practices distinguishes Williams from midstream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Williams operates in a regulatory-moat business where pipeline assets are natural monopolies, and competitive dynamics center on winning FERC approvals and securing long-term contracts rather than learning from rivals' strengths. The company's competitive language focuses on asset positioning and market access rather than self-improvement through competitive awareness.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Williams has evolved its business model over time, transforming from a diversified conglomerate into a pure-play midstream company by divesting non-core assets, and is now pivoting toward AI data center power demand and LNG export infrastructure [2]. The Power Express expansion and Momentum Midstream acquisition represent forward-looking bets on structural demand shifts. However, these are incremental extensions of the pipeline model, not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Williams maintained and grew its dividend through the 2020 energy bust (8 consecutive years of growth through 2025) while continuing to invest in infrastructure expansion, demonstrating willingness to prioritize long-term capability over short-term capital preservation [1]. The company walked away from the NESE pipeline project after facing environmental opposition rather than fighting prolonged legal battles [4]. However, these examples reflect prudent management rather than the kind of costly, principle-driven bets that characterize exceptional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Williams at $71.28 with an $87.2B market cap is the premier U.S. midstream infrastructure play positioned at the intersection of AI power demand and LNG export growth. The company operates Transco, the nation's largest natural gas pipeline by volume, with approximately 32,000 miles of pipeline infrastructure generating predictable, fee-based cash flows. Q2 2026 adjusted EBITDA of $1.921B (+6% YoY) and full-year guidance reaffirmed at the high end of $8.05-$8.35B demonstrate operational momentum [1][2]. The dividend yields 2.95% with 8 consecutive years of growth and 45 years of continuous payment, supported by a 24.9% profit margin and 21.5% ROE. The Power Express expansion targeting data center power demand and Momentum Midstream acquisition linking Haynesville to LNG export provide visible growth vectors [2].</w:t>
      </w:r>
    </w:p>
    <w:p>
      <w:pPr>
        <w:spacing w:after="120"/>
      </w:pPr>
      <w:r>
        <w:rPr>
          <w:rFonts w:ascii="Calibri" w:hAnsi="Calibri"/>
          <w:b w:val="0"/>
          <w:color w:val="3A4A28"/>
          <w:sz w:val="20"/>
        </w:rPr>
        <w:t>The bear case centers on valuation and structural risks. Forward P/E of 26.9 and PEG of 1.99 are elevated for a utility-like midstream operator, pricing in sustained growth that depends on AI power demand and LNG exports materializing as expected [1]. D/E of 200.4% reflects significant leverage, though supported by fee-based contracts. The payout ratio of 81.7% leaves limited margin for dividend growth acceleration without earnings expansion. Regulatory risk is persistent: the D.C. Court of Appeals invalidated FERC approval for the Regional Energy Access project, finding inadequate GHG emissions analysis, and the NESE project was abandoned after environmental opposition [4]. The energy transition represents a multi-decade structural risk to natural gas demand, though near-term AI and LNG tailwinds partially offset this. CEO Zamarin has been in the role only since July 2025, introducing execution risk during a period of strategic repositioning toward data center and LNG demand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demand — Power Express expansion on Transco reaching 750 Mcf/d targeting Virginia data center corridor, with management integrating renewables with gas turbines for 24/7 uptime solutions [2][3]</w:t>
      </w:r>
    </w:p>
    <w:p>
      <w:pPr>
        <w:spacing w:before="40" w:after="40"/>
        <w:ind w:left="283"/>
      </w:pPr>
      <w:r>
        <w:rPr>
          <w:rFonts w:ascii="Calibri" w:hAnsi="Calibri"/>
          <w:b/>
          <w:color w:val="4A6B25"/>
          <w:sz w:val="20"/>
        </w:rPr>
        <w:t xml:space="preserve">2. </w:t>
      </w:r>
      <w:r>
        <w:rPr>
          <w:rFonts w:ascii="Calibri" w:hAnsi="Calibri"/>
          <w:b w:val="0"/>
          <w:color w:val="3A4A28"/>
          <w:sz w:val="20"/>
        </w:rPr>
        <w:t>LNG export growth — Momentum Midstream acquisition links Haynesville basin production to Gulf Coast LNG export terminals, positioning Williams for structural growth in U.S. natural gas exports [2]</w:t>
      </w:r>
    </w:p>
    <w:p>
      <w:pPr>
        <w:spacing w:before="40" w:after="40"/>
        <w:ind w:left="283"/>
      </w:pPr>
      <w:r>
        <w:rPr>
          <w:rFonts w:ascii="Calibri" w:hAnsi="Calibri"/>
          <w:b/>
          <w:color w:val="4A6B25"/>
          <w:sz w:val="20"/>
        </w:rPr>
        <w:t xml:space="preserve">3. </w:t>
      </w:r>
      <w:r>
        <w:rPr>
          <w:rFonts w:ascii="Calibri" w:hAnsi="Calibri"/>
          <w:b w:val="0"/>
          <w:color w:val="3A4A28"/>
          <w:sz w:val="20"/>
        </w:rPr>
        <w:t>Fee-based revenue model with 2026 adjusted EBITDA guided at $8.05-$8.35B high end provides earnings visibility; 8 consecutive years of dividend growth with 2.95% yield and 45-year payment history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headwinds — D.C. Circuit invalidated FERC approval for Regional Energy Access project citing inadequate GHG analysis; future pipeline expansions face increasing environmental scrutiny and permitting delays [4]</w:t>
      </w:r>
    </w:p>
    <w:p>
      <w:pPr>
        <w:spacing w:before="40" w:after="40"/>
        <w:ind w:left="283"/>
      </w:pPr>
      <w:r>
        <w:rPr>
          <w:rFonts w:ascii="Calibri" w:hAnsi="Calibri"/>
          <w:b/>
          <w:color w:val="4A6B25"/>
          <w:sz w:val="20"/>
        </w:rPr>
        <w:t xml:space="preserve">2. </w:t>
      </w:r>
      <w:r>
        <w:rPr>
          <w:rFonts w:ascii="Calibri" w:hAnsi="Calibri"/>
          <w:b w:val="0"/>
          <w:color w:val="3A4A28"/>
          <w:sz w:val="20"/>
        </w:rPr>
        <w:t>Elevated valuation at 26.9x forward earnings with PEG of 1.99 for a utility-like midstream business, with limited margin of safety if AI power demand or LNG exports underwhelm expectations [1]</w:t>
      </w:r>
    </w:p>
    <w:p>
      <w:pPr>
        <w:spacing w:before="40" w:after="40"/>
        <w:ind w:left="283"/>
      </w:pPr>
      <w:r>
        <w:rPr>
          <w:rFonts w:ascii="Calibri" w:hAnsi="Calibri"/>
          <w:b/>
          <w:color w:val="4A6B25"/>
          <w:sz w:val="20"/>
        </w:rPr>
        <w:t xml:space="preserve">3. </w:t>
      </w:r>
      <w:r>
        <w:rPr>
          <w:rFonts w:ascii="Calibri" w:hAnsi="Calibri"/>
          <w:b w:val="0"/>
          <w:color w:val="3A4A28"/>
          <w:sz w:val="20"/>
        </w:rPr>
        <w:t>Energy transition risk — long-term structural decline in natural gas demand from renewables and electrification could erode the utility of 32,000 miles of pipeline infrastructure, even as near-term AI/LNG demand provides a buffer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Williams' core business — operating 32,000 miles of physical natural gas pipelines — is structurally immune to AI substitution. Natural gas must be physically transported through pipelines, and AI cannot replicate underground steel infrastructure, regulatory permits, or right-of-way access that took decades to establish. Moreover, AI is a direct demand tailwind: data centers require massive power capacity, and natural gas is the primary fuel for incremental power generation serving AI compute demand. Williams' Power Express expansion on Transco specifically targets data center power demand in Virginia, reaching 750 Mcf/d [2]. The business model is fee-based with long-term take-or-pay contracts, further insulating it from AI disruption. Scores 8 rather than 9 because the long-term energy transition toward renewables could eventually reduce natural gas demand, though this is a multi-decade risk rather than an AI-specific threat. AI Opportunity (0/1): Williams does not generate AI-related revenue directly. While AI data center power demand drives incremental pipeline throughput, this is captured in base revenues rather than discrete AI product revenue. The company has not quantified AI-attributable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Williams Q2 2026 Earnings — Revenue $3.05B, Adjusted EBITDA $1.921B (+6% YoY), Adjusted EPS $0.50, 2026 EPS Guidance ~$2.35, Earnings Whispers/Barchart, August 2026</w:t>
      </w:r>
    </w:p>
    <w:p>
      <w:pPr>
        <w:spacing w:before="20" w:after="20"/>
        <w:ind w:left="170"/>
      </w:pPr>
      <w:r>
        <w:rPr>
          <w:rFonts w:ascii="Calibri" w:hAnsi="Calibri"/>
          <w:b/>
          <w:color w:val="4A6B25"/>
          <w:sz w:val="15"/>
        </w:rPr>
        <w:t xml:space="preserve">2. </w:t>
      </w:r>
      <w:r>
        <w:rPr>
          <w:rFonts w:ascii="Calibri" w:hAnsi="Calibri"/>
          <w:b w:val="0"/>
          <w:color w:val="3A4A28"/>
          <w:sz w:val="17"/>
        </w:rPr>
        <w:t>Williams Strategy and Growth — Power Express 750 Mcf/d Data Center Expansion, Momentum Midstream Acquisition, 2026 EBITDA Guidance $8.05-$8.35B High End, Barchart/Nasdaq, 2026</w:t>
      </w:r>
    </w:p>
    <w:p>
      <w:pPr>
        <w:spacing w:before="20" w:after="20"/>
        <w:ind w:left="170"/>
      </w:pPr>
      <w:r>
        <w:rPr>
          <w:rFonts w:ascii="Calibri" w:hAnsi="Calibri"/>
          <w:b/>
          <w:color w:val="4A6B25"/>
          <w:sz w:val="15"/>
        </w:rPr>
        <w:t xml:space="preserve">3. </w:t>
      </w:r>
      <w:r>
        <w:rPr>
          <w:rFonts w:ascii="Calibri" w:hAnsi="Calibri"/>
          <w:b w:val="0"/>
          <w:color w:val="3A4A28"/>
          <w:sz w:val="17"/>
        </w:rPr>
        <w:t>Williams Leadership — CEO Chad Zamarin (July 2025), Alan Armstrong Succession, CERAWeek AI Infrastructure, Org Culture Focus, Simply Wall St/Kalkine/BusinessWire,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Williams ESG — NESE Pipeline Abandoned (Environmental Opposition), Regional Energy Access FERC Approval Invalidated (GHG), Sustainalytics Controversy Level 2, Nasdaq/Yahoo Finance, 2020-2026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