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WM</w:t>
      </w:r>
      <w:r>
        <w:rPr>
          <w:rFonts w:ascii="Calibri" w:hAnsi="Calibri"/>
          <w:b/>
          <w:color w:val="1A2010"/>
          <w:sz w:val="40"/>
        </w:rPr>
        <w:t xml:space="preserve">  Waste Management,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2026-10-02 · Inspire: 39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Waste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WM is North America's largest provider of comprehensive environmental solutions, operating collection, transfer, landfill disposal, recycling, and renewable natural gas (RNG) assets, plus the WM Healthcare Solutions medical-waste business acquired with Stericycle in 2024. 2025 revenue reached $25.2B, and Q2 2026 revenue was $6.68B (+4.0% YoY) with a 30.9% adjusted operating EBITDA margin. CEO Jim Fish will retire and hand the role to President John Morris effective January 4, 2027. Headquartered in Houston, Texas.</w:t>
      </w:r>
    </w:p>
    <w:p>
      <w:r>
        <w:rPr>
          <w:rFonts w:ascii="Calibri" w:hAnsi="Calibri"/>
          <w:b/>
          <w:color w:val="6E8450"/>
          <w:sz w:val="18"/>
        </w:rPr>
        <w:t>60,500 Employees · https://www.wm.com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Over five years WM has added two genuinely new revenue streams — the $7.2B Stericycle acquisition created a medical-waste vertical (WM Healthcare Solutions), and a landfill-gas-to-RNG build-out turned methane into a sustainability EBITDA line — but the collection-and-landfill core still generates the bulk of profit, so this is a significant extension rather than a company-redefining pivot [1][6]. AI Deployment (2/2): WM is deploying AI-guided optical and robotic sorting in its automated MRFs as part of a $1.6B recycling modernization through 2026, and management has quantified automation's labor impact — roughly 5,000 fewer roles to be absorbed through attrition as automated trucks and sorting scale [3]. Market Share (2/2): WM is the largest solid-waste company in North America by revenue and disposal capacity, and its landfill network — the industry's scarcest asset — gives it durable pricing power reflected in the 40bps EBITDA-margin expansion to 30.9% in Q2 2026 despite soft volumes [1]. Product Pipeline (1/2): Named sustainability projects (four growth projects completed in 2026, additional RNG plants coming online) and the $50M Stericycle synergy target give partial visibility, but these are capacity additions rather than next-generation products with revenue timelines [1][5]. R&amp;D Intensity (0/1): WM does not disclose R&amp;D as a meaningful line item; no evidence of above-peer R&amp;D intensity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WM's mission to 'maximize resource value while minimizing impact so that both our economy and our environment can thrive,' carried by the 'Always Working for a Sustainable Tomorrow' promise, is specific and has been backed by real capital — RNG plants, recycling automation, and a published annual sustainability report (2026 edition released July 2026) [4][5]. Community Impact (2/2): WM operates nearly 70 Wildlife Habitat Council-certified sites covering roughly 13,500 acres and runs a dedicated charitable giving program for local nonprofits in its operating communities — distinctive, asset-based community investment beyond generic matching [5]. Employee Retention (0/2): Jim Fish's 'people first' philosophy is well documented and the CEO succession to 27-year insider John Morris shows leadership continuity, but no company-wide tenure or voluntary-turnover data was found, and automation is reducing roughly 5,000 roles [2][3]. Insider Buying (0/2): Insiders were net sellers over the past year, including roughly $10M of sales by CEO Jim Fish near all-time highs, with no meaningful open-market purchases reported [9].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Growth-sleeve stock (1.87% yield is below the 2% Dividend threshold) [7]. D/E of 235% — elevated after the debt-funded Stericycle deal — scores only 0.28; ROE of 29.8% (1.0, 2x weight), YoY revenue growth of 4.0% (0.80), 5-year revenue CAGR of ~10.6% from $15.2B in 2020 to $25.2B in 2025 (1.0, 2x), forward P/E of 22.4 (0.94), profit margin of 11.1% (0.56), and forward PEG of 1.85 (0.58, 2x) produce a weighted 7.73/10, rounded to 8 [1][7]. Liquidity is ample at ~$411M of daily dollar volume (2.01M shares at $204), and free cash flow rose 34.5% to $1.10B in Q2 2026 with full-year FCF guided to $3.75-3.85B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Through Sinek's lens WM is a mixed but leaning-infinite player: it has a genuine stewardship cause and has repeatedly spent heavily for the long term (Stericycle, RNG, recycling automation), and it is executing an orderly, insider-led CEO succession. What holds it back is a cause still more commonly expressed in operating metrics than as a vision people sacrifice for, an organizational trust story asserted by leadership more than evidenced by data, and a competitive posture built on landfill scarcity rather than learning from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'Always Working for a Sustainable Tomorrow' is service-oriented and idealistic, and strategic choices — converting landfill methane into RNG, modernizing recycling, entering medical waste — trace back to it [4][5]. It has not yet been tested by a defining crisis or a CEO transition (the first comes in January 2027), so it stops short of being the company's proven competitive advantage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Fish's people-first approach and the decision to absorb automation-driven role reductions through attrition and retraining rather than mass layoffs signal care for frontline workers, and the internal succession to John Morris preserves continuity [2][3]. Without independent tenure or turnover data, this rates as adequate rather than demonstrably high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Management's competitive language centers on pricing power, landfill scarcity, and margin expansion versus Republic Services and Waste Connections rather than on learning from rivals' strengths; no evidence was found of WM publicly framing competitors as catalysts for self-improvement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WM has evolved from hauler to environmental-solutions provider by adding RNG, advanced recycling, and healthcare waste, but it has not abandoned or cannibalized its landfill-centric core — the changes are meaningful adjacencies rather than a Fujifilm-style reinvention [1][6].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Leadership committed $7.2B to Stericycle and lifted leverage to 235% D/E to diversify, while simultaneously funding a $1.6B recycling and RNG program through a period when full-year revenue guidance was narrowed for softer volumes — a pattern of accepting near-term balance-sheet and earnings drag for long-term capability [1][3][6].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WM is a toll road on an essential, AI-proof service: Q2 2026 revenue rose 4.0% to $6.68B, adjusted operating EBITDA grew 5.5% to $2.07B with margin up 40bps to 30.9%, and free cash flow jumped 34.5% to $1.10B, with full-year FCF guided to $3.75-3.85B and the EBITDA-margin outlook raised to 31.0-31.2% [1]. The Stericycle healthcare vertical, RNG plants, and automated recycling add growth and margin levers on top of price-led core growth, and a 23-year dividend record with ~8.6% five-year dividend CAGR rewards patient owners [1][6][7].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valuation and leverage: at ~22x forward earnings and a 1.85 PEG for a business growing revenue ~4% (2026 revenue guide of $26.3-26.5B implies roughly flat-to-low growth after acquisitions anniversary), there is little margin for error, and D/E of 235% limits flexibility until deleveraging completes [1][7]. Collection volumes are soft, RNG economics depend on volatile environmental-credit (RIN) prices, and the January 2027 CEO transition introduces execution risk on Stericycle integration [2]. Sustainalytics rates WM's ESG risk at 18 with a moderate controversy level, so environmental-compliance headlines around landfills remain a recurring, if manageable, overhang [8].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Full capture of the $50M Stericycle cross-sell synergy target and healthcare-segment margin expansion toward the 19%+ range, supporting the raised 31.0-31.2% 2026 EBITDA margin guide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New RNG plants and automated MRFs from the $1.6B sustainability program reaching full run-rate in 2026-2027, adding high-margin sustainability EBITDA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Deleveraging back to target range on $3.75-3.85B annual FCF, reopening capacity for buybacks and dividend increases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Leverage of ~235% D/E following the $7.2B Stericycle deal leaves less room if volumes or RIN prices weaken further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Premium valuation (~22x forward P/E, PEG 1.85) on mid-single-digit revenue growth exposes the stock to multiple compression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transition from Jim Fish to John Morris in January 2027 coincides with ongoing Stericycle integration and automation-driven workforce reductions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WM's business — physically collecting, hauling, and landfilling waste under local permits and franchise agreements — cannot be substituted by software; analysts frame AI exclusively as a cost lever (route optimization, robotic sorting, automated trucks), and the irreplaceable, permit-constrained landfill network is the moat [1][3]. AI actually widens WM's advantage versus smaller haulers, since only a scaled operator can fund a $1.6B automation program. AI Opportunity (0/1): WM generates no quantifiable revenue from AI products or services; its AI use is internal efficiency, so the tiebreaker point is not earned.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WM Q2 2026 Earnings Release (Form 8-K Ex. 99.1) and earnings coverage, Yahoo Finance/TipRanks,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Jim Fish to Retire from WM; John Morris Named as Next CEO — investors.wm.com / Waste Today,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Inside WM's Plan to Automate the Future of Trash — Fortune Leadership Next podcast; WebProNews on WM's $1.6B recycling investment,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WM Mission, Vision and 'Always Working for a Sustainable Tomorrow' — wm.com,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WM 2025 Sustainability Report and 2026 Sustainability Report release — sustainability.wm.com,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WM Completes Acquisition of Stericycle for $7.2 Billion — investors.wm.com, November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Yahoo Finance — WM key statistics and dividend history,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8. </w:t>
      </w:r>
      <w:r>
        <w:rPr>
          <w:rFonts w:ascii="Calibri" w:hAnsi="Calibri"/>
          <w:b w:val="0"/>
          <w:color w:val="3A4A28"/>
          <w:sz w:val="17"/>
        </w:rPr>
        <w:t>Sustainalytics ESG Risk Rating for WM (risk score 18, moderate controversy level) — Yahoo Finance,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9. </w:t>
      </w:r>
      <w:r>
        <w:rPr>
          <w:rFonts w:ascii="Calibri" w:hAnsi="Calibri"/>
          <w:b w:val="0"/>
          <w:color w:val="3A4A28"/>
          <w:sz w:val="17"/>
        </w:rPr>
        <w:t>Waste Management insider transactions summary — Yahoo Finance/Simply Wall St,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