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WNW</w:t>
      </w:r>
      <w:r>
        <w:rPr>
          <w:rFonts w:ascii="Calibri" w:hAnsi="Calibri"/>
          <w:b/>
          <w:color w:val="1A2010"/>
          <w:sz w:val="40"/>
        </w:rPr>
        <w:t xml:space="preserve">  Meiwu Technology Company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29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Internet Retail · NASDAQ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Meiwu Technology is a Nasdaq-listed micro-cap in internet retail with a history of business model changes. TTM revenue is about $7.1M with a 10.1% gross margin and net loss of $18.6M; fiscal-year results reported April 17, 2026 showed EPS of -$0.82 [1]. Market cap is roughly $63M.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company has repeatedly changed business lines and TTM revenue reached $7.1M, but no successful transformative launch was verified [1]. AI Deployment (0/2): None found. Market Share (0/2): Sub-scale player. Pipeline (0/2): None found. R&amp;D (0/1): None disclosed.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No distinctive mission found; generic internet retail positioning. Community (0/2): No evidence. Retention (0/2): No data. Insider Buying (0/2): No data. Research was limited to public aggregators.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as a Growth stock on available metrics (forward P/E, PEG and 5yr CAGR unavailable). D/E of 0.08% (1.0), ROE -33.6% (0.0, 2x), revenue growth 62.6% YoY per yfinance (1.0), profit margin -262.5% (0.0). Weighted 2.0 of 5 gives 4.0. Dollar volume of about $1.5M clears the liquidity floor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Meiwu shows no evidence of an enduring cause; frequent model changes and heavy losses indicate a finite, survival-oriented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articulated purpose beyond commercial activity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culture or tenure data available.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has changed its business model repeatedly, though out of necessity rather than a guiding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costly principled decisions; losses of $18.6M against $7.1M revenue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Meiwu Technology at $2.38 has a roughly $63M market cap and TTM revenue of $7.1M, up sharply year on year, with almost no debt (D/E 0.08%) [1]. A small base and a speculative narrative drive trading spikes, and the company reported FY results in April 2026.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severe: net loss of $18.6M (-262% margin), operating margin of -124%, gross margin of only 10.1%, and ROE of -34%. Share price sits below the 50-day average, daily volume was a thin 26,160 recently, and disclosure is limited. Research coverage is sparse, so scoring leans on aggregator data and carries high uncertainty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revenue ramp from a $7.1M base if the new business lines scale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Debt-free balance sheet providing runway for strategic changes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Speculative interest around strategic announcements, as seen in March 2026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Net loss of $18.6M against revenue of $7.1M signals ongoing cash burn and dilution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Very low liquidity, recent volume of 26,160 shares, and weak disclosure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China-based operations carry regulatory and delisting risk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(3/9): Online retail intermediaries face real substitution risk from AI shopping agents and platform consolidation, and Meiwu has no defensive moat at $7.1M revenue and 10.1% gross margin [1]. AI Opportunity (0/1): No AI revenue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Meiwu Technology WNW earnings and financials, Benzinga, Simply Wall St, Value Research, 2026; yfinance data,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