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WOLF</w:t>
      </w:r>
      <w:r>
        <w:rPr>
          <w:rFonts w:ascii="Calibri" w:hAnsi="Calibri"/>
          <w:b/>
          <w:color w:val="1A2010"/>
          <w:sz w:val="40"/>
        </w:rPr>
        <w:t xml:space="preserve">  Wolfspeed, Inc.</w:t>
      </w:r>
    </w:p>
    <w:p>
      <w:pPr>
        <w:spacing w:after="120"/>
      </w:pPr>
      <w:r>
        <w:rPr>
          <w:rFonts w:ascii="Calibri" w:hAnsi="Calibri"/>
          <w:b/>
          <w:color w:val="6E8450"/>
          <w:sz w:val="18"/>
        </w:rPr>
        <w:t>GROWTH SLEEVE · 2026-09-18 · Inspire: 44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NYSE · United States</w:t>
      </w:r>
    </w:p>
    <w:p>
      <w:pPr>
        <w:spacing w:after="80"/>
      </w:pPr>
      <w:r>
        <w:rPr>
          <w:rFonts w:ascii="Calibri" w:hAnsi="Calibri"/>
          <w:b w:val="0"/>
          <w:color w:val="3A4A28"/>
          <w:sz w:val="20"/>
        </w:rPr>
        <w:t>Wolfspeed, Inc. is a global leader in silicon carbide (SiC) and gallium nitride (GaN) semiconductor technologies for power and radio frequency (RF) applications. The company operates through two segments: Materials Products (SiC substrates and wafers) and Power Products (SiC MOSFETs, diodes, and power modules). Applications span electric vehicles, AI data centers, renewable energy, grid infrastructure, and aerospace and defense. Formerly Cree, Inc., the company divested its LED business in 2021 to focus exclusively on SiC power semiconductors. Emerged from Chapter 11 bankruptcy in September 2025 following a 91-day prepackaged restructuring that reduced debt by ~$4.6 billion. Appointed semiconductor veteran Robert Feurle as CEO in May 2026. Headquartered in Durham, North Carolina.</w:t>
      </w:r>
    </w:p>
    <w:p>
      <w:r>
        <w:rPr>
          <w:rFonts w:ascii="Calibri" w:hAnsi="Calibri"/>
          <w:b/>
          <w:color w:val="6E8450"/>
          <w:sz w:val="18"/>
        </w:rPr>
        <w:t>3,430 Employees · https://www.wolfspeed.com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Wolfspeed executed a transformative pivot from Cree (LED lighting company) to a pure-play SiC semiconductor company, divesting the LED business in 2021 and rebranding — a bold strategic reinvention. The company has developed Gen 5 SiC MOSFET technology and advanced 200mm wafer capability, representing meaningful new product generations [2][4]. However, the pivot's financial execution led to Chapter 11 bankruptcy in June 2025, tempering the innovation narrative. AI Deployment (1/2): SiC power devices are increasingly deployed in AI data center power conversion, with AI-related revenue growing 30-50% sequentially in recent quarters — Wolfspeed's products enable AI infrastructure but the company does not deploy AI itself [1]. Market Share (1/2): Wolfspeed pioneered commercial SiC technology and remains a significant player, but Chinese competitors and established players (Infineon, STMicroelectronics, ON Semiconductor) have eroded its leadership position — stiff Chinese competition was cited as a factor in the bankruptcy filing [1][3]. Product Pipeline (1/2): Gen 5 SiC MOSFET technology, 300mm wafer development for AI data centers, and expansion into aerospace and defense applications provide pipeline visibility, though Q4 FY2026 guidance of $140-160M signals near-term revenue pressure [1][2]. R&amp;D Intensity (1/1): Heavy R&amp;D investment in SiC and GaN technology is a core competency; the company's 35-year history in wide-bandgap semiconductors reflects sustained research commitment above industry peers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Wolfspeed's stated purpose — 'New Era and New Energy of Technology Leadership' — connects the company's SiC technology to enabling more efficient energy use across EVs, renewable energy, and grid infrastructure. The mission is clear and relevant to global energy transition but has not been validated by financial execution, given the Chapter 11 bankruptcy [2]. Community Impact (0/2): No specific community programs, foundation activities, or charitable initiatives were identified; the company's ESG reporting focuses on environmental operations rather than community investment [5]. Employee Retention (0/2): The bankruptcy process, complete leadership overhaul (new CEO, CFO, and five new directors), and cancellation of legacy shares represent significant organizational disruption that undermines trust and retention. No specific retention data is available [3][4]. Insider Buying (0/2): Former CFO Neill Reynolds sold 13,909 shares in April 2026 at $3.99/share — net insider selling, not buying. New CEO Feurle was appointed in May 2026 and has not yet established an insider buying record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Revenue declined 24.1% YoY with pro forma FY2026 revenue of $665.1M and a net loss of $665.9M, demonstrating deep unprofitability despite the September 2025 restructuring [1]. D/E of 193.1% reflects elevated leverage even after the Chapter 11 process eliminated $4.6B in obligations — debt was further reduced to $1.7B in Q3 FY26 but remains heavy for a company with minimal earnings [1][3]. ROE of 1.82% is negligible, reflecting fresh-start accounting rather than genuine profitability. Forward P/E of -4.07x is excluded as meaningless for an unprofitable company. Profit margin of 0.66% per yfinance reflects recent-quarter marginal profitability, but TTM net margin is -233.9% per analyst data. The 5-year revenue CAGR of ~4.8% (estimated from ~$526M in FY2021 to ~$665M in FY2026) provides modest scoring support. Stock clears the liquidity floor at $96.4M daily trading value (4.06M shares x $23.74)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Wolfspeed's history tells two stories. The Cree-to-Wolfspeed transformation — divesting a profitable LED business to bet entirely on SiC semiconductors — is a textbook example of existential flexibility driven by conviction. But the Chapter 11 bankruptcy in 2025, complete leadership overhaul, and cancelled legacy shares reveal that the pivot was executed with insufficient financial discipline, undermining the infinite-game narrative. The new leadership team under CEO Robert Feurle has the right background but has not yet proven its ability to build an enduring company on the restructured foundation.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Wolfspeed's purpose — enabling the global energy transition through more efficient SiC power semiconductors — is a legitimate and important cause. The technology genuinely reduces energy waste in EVs, data centers, and grid infrastructure. However, the cause has not been validated by sustained financial execution; the company went bankrupt pursuing it, and legacy shareholders were essentially wiped out. Sinek would note that a Just Cause requires organizational sustainability, not just technological idealism [2][3].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Chapter 11 bankruptcy, cancellation of legacy shares (less than 1% exchange ratio for existing investors), appointment of new CEO Robert Feurle, new CFO, and five new directors represent a near-complete organizational reset. CFO Neill Reynolds sold shares in April 2026. Employee count of 3,430 is down from peak levels. This level of organizational disruption fundamentally undermines psychological safety and trust — employees who survived the restructuring are rebuilding from a low-trust baseline [3][4].</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Feurle, with deep experience at Infineon and Micron, explicitly frames competition in terms of technology differentiation and continuous improvement rather than market share warfare. His commentary on Gen 5 SiC emphasizes learning from what Infineon and STMicro have achieved in high-volume manufacturing and using that as motivation to improve Wolfspeed's own execution — a classic infinite-game competitive mindset [2].</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Cree-to-Wolfspeed transformation is one of the most dramatic corporate reinventions in the semiconductor industry. The company divested its entire LED business (the Cree brand, market-leading LED products) to bet exclusively on SiC power semiconductors — abandoning a profitable, established business for a pre-scale technology platform. This pivot was driven by the conviction that SiC would enable the energy transition, not by desperation. The subsequent bankruptcy was a failure of financial execution, not strategic vision [2][4].</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Divesting the Cree LED business, investing billions in the Mohawk Valley SiC fab, and pursuing the Durham-to-Mohawk-Valley manufacturing transition required genuine courage and long-term thinking. However, the bankruptcy outcome suggests the courage was not paired with sufficient financial discipline — the company overleveraged itself with $6.7B in debt. New CEO Feurle's focus on 'operational discipline' and technology leadership suggests a course correction, but the courage assessment is mixed by the restructuring aftermath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Wolfspeed is the purest publicly traded play on silicon carbide semiconductor technology — a material advantage that delivers 10x lower switching losses and 3x higher thermal conductivity versus silicon, critical for EV powertrains, AI data center power conversion, grid infrastructure, and renewable energy systems [1][2]. The Chapter 11 restructuring eliminated $4.6B in debt (reducing from $6.7B to $2.1B) and cut annual interest expense by 60%, providing a cleaner financial foundation under new CEO Robert Feurle. AI data center applications are growing 30-50% sequentially, representing a rapidly expanding revenue stream as hyperscalers demand more efficient power conversion. The Gen 5 SiC MOSFET technology and 300mm wafer development provide next-generation product advantages. At $1.83B market cap, the stock prices in significant uncertainty but also offers asymmetric upside if the company executes its operational turnaround under new leadership [1][2][3].</w:t>
      </w:r>
    </w:p>
    <w:p>
      <w:pPr>
        <w:spacing w:after="120"/>
      </w:pPr>
      <w:r>
        <w:rPr>
          <w:rFonts w:ascii="Calibri" w:hAnsi="Calibri"/>
          <w:b w:val="0"/>
          <w:color w:val="3A4A28"/>
          <w:sz w:val="20"/>
        </w:rPr>
        <w:t>The bear case is severe. Q3 FY2026 revenue of $150.2M declined 19% YoY with GAAP gross margin of -27% and $120M net loss, demonstrating that post-bankruptcy Wolfspeed is still deeply unprofitable and burning cash [1]. Materials Products revenue collapsed 36% as the automotive/industrial SiC market faces overcapacity and intense Chinese competition — the same forces that drove the bankruptcy. D/E of 179.2% remains elevated despite restructuring, and $2.1B in remaining debt requires continued debt service from negative cash flows. The company cancelled essentially all legacy equity in bankruptcy (less than 1% exchange ratio), representing total loss for long-term shareholders. New CEO Feurle has only been in the role since May 2026 and inherits a demoralized organization with 3,430 employees (down from peak), negative margins, declining revenue, and a competitive landscape that has shifted decisively toward Chinese players who benefit from government subsidies and lower production costs [1][3][4].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power conversion revenue growing 30-50% sequentially as hyperscalers adopt SiC for superior efficiency, potentially becoming the dominant revenue driver within 12-18 months</w:t>
      </w:r>
    </w:p>
    <w:p>
      <w:pPr>
        <w:spacing w:before="40" w:after="40"/>
        <w:ind w:left="283"/>
      </w:pPr>
      <w:r>
        <w:rPr>
          <w:rFonts w:ascii="Calibri" w:hAnsi="Calibri"/>
          <w:b/>
          <w:color w:val="4A6B25"/>
          <w:sz w:val="20"/>
        </w:rPr>
        <w:t xml:space="preserve">2. </w:t>
      </w:r>
      <w:r>
        <w:rPr>
          <w:rFonts w:ascii="Calibri" w:hAnsi="Calibri"/>
          <w:b w:val="0"/>
          <w:color w:val="3A4A28"/>
          <w:sz w:val="20"/>
        </w:rPr>
        <w:t>Gen 5 SiC MOSFET technology and 300mm wafer qualification providing next-generation products with improved cost structure and performance versus Infineon, STMicro, and Chinese competitors</w:t>
      </w:r>
    </w:p>
    <w:p>
      <w:pPr>
        <w:spacing w:before="40" w:after="40"/>
        <w:ind w:left="283"/>
      </w:pPr>
      <w:r>
        <w:rPr>
          <w:rFonts w:ascii="Calibri" w:hAnsi="Calibri"/>
          <w:b/>
          <w:color w:val="4A6B25"/>
          <w:sz w:val="20"/>
        </w:rPr>
        <w:t xml:space="preserve">3. </w:t>
      </w:r>
      <w:r>
        <w:rPr>
          <w:rFonts w:ascii="Calibri" w:hAnsi="Calibri"/>
          <w:b w:val="0"/>
          <w:color w:val="3A4A28"/>
          <w:sz w:val="20"/>
        </w:rPr>
        <w:t>New CEO Robert Feurle's operational discipline focus, combined with the restructured balance sheet ($4.6B debt eliminated), creating a path toward gross margin improvement and eventual profitability as manufacturing scales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declining 19% YoY with -27% GAAP gross margins and $120M quarterly net losses demonstrate deep unprofitability — the company must reverse revenue decline and achieve positive gross margins to survive without additional restructuring</w:t>
      </w:r>
    </w:p>
    <w:p>
      <w:pPr>
        <w:spacing w:before="40" w:after="40"/>
        <w:ind w:left="283"/>
      </w:pPr>
      <w:r>
        <w:rPr>
          <w:rFonts w:ascii="Calibri" w:hAnsi="Calibri"/>
          <w:b/>
          <w:color w:val="4A6B25"/>
          <w:sz w:val="20"/>
        </w:rPr>
        <w:t xml:space="preserve">2. </w:t>
      </w:r>
      <w:r>
        <w:rPr>
          <w:rFonts w:ascii="Calibri" w:hAnsi="Calibri"/>
          <w:b w:val="0"/>
          <w:color w:val="3A4A28"/>
          <w:sz w:val="20"/>
        </w:rPr>
        <w:t>Chinese SiC competitors with government subsidies and lower cost structures are gaining market share aggressively, contributing to the 36% collapse in Materials Products revenue and creating sustained pricing pressure across the SiC value chain</w:t>
      </w:r>
    </w:p>
    <w:p>
      <w:pPr>
        <w:spacing w:before="40" w:after="40"/>
        <w:ind w:left="283"/>
      </w:pPr>
      <w:r>
        <w:rPr>
          <w:rFonts w:ascii="Calibri" w:hAnsi="Calibri"/>
          <w:b/>
          <w:color w:val="4A6B25"/>
          <w:sz w:val="20"/>
        </w:rPr>
        <w:t xml:space="preserve">3. </w:t>
      </w:r>
      <w:r>
        <w:rPr>
          <w:rFonts w:ascii="Calibri" w:hAnsi="Calibri"/>
          <w:b w:val="0"/>
          <w:color w:val="3A4A28"/>
          <w:sz w:val="20"/>
        </w:rPr>
        <w:t>Complete leadership overhaul (new CEO, CFO, five new directors) and legacy shareholder wipeout create organizational risk — new management must rebuild trust, retain key engineers, and execute a turnaround simultaneously while servicing $2.1B in remaining debt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Wolfspeed's core business — manufacturing SiC wafers, substrates, MOSFETs, and power modules — is entirely physical-world semiconductor fabrication that AI cannot substitute. SiC power devices require crystal growth, epitaxial deposition, and cleanroom processing that are structurally immune to AI displacement [1][2]. More importantly, AI is a demand driver: AI data centers require massive power conversion infrastructure, and SiC devices offer superior efficiency versus silicon alternatives for high-power applications. Wolfspeed reported 30-50% sequential growth in AI data center revenue, demonstrating that AI expansion directly increases demand for its products [1]. EV electrification, grid modernization, and renewable energy adoption provide additional secular tailwinds independent of AI. The only risk factor is that Chinese SiC competitors could use AI to accelerate their manufacturing capabilities, but this is a competitive rather than substitution threat. AI Opportunity (1/1): AI data center power conversion is already a quantifiable and rapidly growing revenue stream, with management highlighting 30-50% sequential growth in AI-related applications as a bright spot in otherwise declining results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Wolfspeed Q3 FY2026 Earnings Release and Q4 Guidance — Business Wire, May 5, 2026</w:t>
      </w:r>
    </w:p>
    <w:p>
      <w:pPr>
        <w:spacing w:before="20" w:after="20"/>
        <w:ind w:left="170"/>
      </w:pPr>
      <w:r>
        <w:rPr>
          <w:rFonts w:ascii="Calibri" w:hAnsi="Calibri"/>
          <w:b/>
          <w:color w:val="4A6B25"/>
          <w:sz w:val="15"/>
        </w:rPr>
        <w:t xml:space="preserve">2. </w:t>
      </w:r>
      <w:r>
        <w:rPr>
          <w:rFonts w:ascii="Calibri" w:hAnsi="Calibri"/>
          <w:b w:val="0"/>
          <w:color w:val="3A4A28"/>
          <w:sz w:val="17"/>
        </w:rPr>
        <w:t>Wolfspeed CEO Robert Feurle on Gen 5 SiC, 300mm Wafers, and Year One Transformation — Power Electronics News, 2026</w:t>
      </w:r>
    </w:p>
    <w:p>
      <w:pPr>
        <w:spacing w:before="20" w:after="20"/>
        <w:ind w:left="170"/>
      </w:pPr>
      <w:r>
        <w:rPr>
          <w:rFonts w:ascii="Calibri" w:hAnsi="Calibri"/>
          <w:b/>
          <w:color w:val="4A6B25"/>
          <w:sz w:val="15"/>
        </w:rPr>
        <w:t xml:space="preserve">3. </w:t>
      </w:r>
      <w:r>
        <w:rPr>
          <w:rFonts w:ascii="Calibri" w:hAnsi="Calibri"/>
          <w:b w:val="0"/>
          <w:color w:val="3A4A28"/>
          <w:sz w:val="17"/>
        </w:rPr>
        <w:t>Wolfspeed Chapter 11 Bankruptcy Filing, 91-Day Restructuring, and Emergence — Investor.Wolfspeed.com, ElevenFlo, September 2025</w:t>
      </w:r>
    </w:p>
    <w:p>
      <w:pPr>
        <w:spacing w:before="20" w:after="20"/>
        <w:ind w:left="170"/>
      </w:pPr>
      <w:r>
        <w:rPr>
          <w:rFonts w:ascii="Calibri" w:hAnsi="Calibri"/>
          <w:b/>
          <w:color w:val="4A6B25"/>
          <w:sz w:val="15"/>
        </w:rPr>
        <w:t xml:space="preserve">4. </w:t>
      </w:r>
      <w:r>
        <w:rPr>
          <w:rFonts w:ascii="Calibri" w:hAnsi="Calibri"/>
          <w:b w:val="0"/>
          <w:color w:val="3A4A28"/>
          <w:sz w:val="17"/>
        </w:rPr>
        <w:t>Wolfspeed Leadership Transition and CEO Appointment — AInvest, Finimize, May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WOLF Key Statistics, Insider Transactions, and Market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