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WRB</w:t>
      </w:r>
      <w:r>
        <w:rPr>
          <w:rFonts w:ascii="Calibri" w:hAnsi="Calibri"/>
          <w:b/>
          <w:color w:val="1A2010"/>
          <w:sz w:val="40"/>
        </w:rPr>
        <w:t xml:space="preserve">  W. R. Berkley Corporation</w:t>
      </w:r>
    </w:p>
    <w:p>
      <w:pPr>
        <w:spacing w:after="120"/>
      </w:pPr>
      <w:r>
        <w:rPr>
          <w:rFonts w:ascii="Calibri" w:hAnsi="Calibri"/>
          <w:b/>
          <w:color w:val="6E8450"/>
          <w:sz w:val="18"/>
        </w:rPr>
        <w:t>DIVIDEND SLEEVE · 2026-09-09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NYSE · United States</w:t>
      </w:r>
    </w:p>
    <w:p>
      <w:pPr>
        <w:spacing w:after="80"/>
      </w:pPr>
      <w:r>
        <w:rPr>
          <w:rFonts w:ascii="Calibri" w:hAnsi="Calibri"/>
          <w:b w:val="0"/>
          <w:color w:val="3A4A28"/>
          <w:sz w:val="20"/>
        </w:rPr>
        <w:t>W. R. Berkley Corporation is a specialty property and casualty insurance holding company operating through approximately 50 decentralized operating units across two segments: Insurance and Reinsurance &amp; Monoline Excess. Founded by William R. Berkley in 1967 and now led by his son W. Robert Berkley Jr. as CEO, the company underwrites a diversified portfolio including commercial auto, general liability, professional liability, workers compensation, and specialty lines. In March 2026, Mitsui Sumitomo Insurance (MS&amp;AD Group) completed a strategic 15% equity stake acquisition, validating WRB's franchise value. Q2 2026 delivered gross premiums written of $4.1B (+4.2% YoY), operating EPS of $1.27 (+21% YoY), and annualized operating ROE of 20.5%. Market cap approximately $27B.</w:t>
      </w:r>
    </w:p>
    <w:p>
      <w:r>
        <w:rPr>
          <w:rFonts w:ascii="Calibri" w:hAnsi="Calibri"/>
          <w:b/>
          <w:color w:val="6E8450"/>
          <w:sz w:val="18"/>
        </w:rPr>
        <w:t>8,804 Employees · https://www.berkley.com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WRB has delivered consistent underwriting excellence over multiple decades, maintaining combined ratios below 90% and growing gross premiums written to a record $4.1B in Q2 2026 (+4.2% YoY) [1]. The 3-for-1 stock split in 2024 and Mitsui Sumitomo's 15% strategic investment in March 2026 validate the franchise's quality. Q1 2026 net income rose to $515.2M from $417.6M (+23.4%) and operating ROE reached 20.5% in Q2 -- exceptional for a P&amp;C insurer [1][2]. However, the growth is evolutionary rather than transformative -- WRB executes the same specialty insurance model better than most, but has not disrupted the industry. AI Deployment (2/2): WRB is achieving 20%+ underwriting efficiency gains from AI tools, with CEO Berkley stating there is 'significant additional juice to squeeze out of that' [3]. AI deployment focuses on underwriting workbenches and digitizing processes from intake through to quote. The company targets an expense ratio of 30% or better partly through AI-driven automation -- meaningful for an insurer where expense ratio improvements flow directly to underwriting profit [3]. Market Share (1/2): WRB is a top-20 U.S. P&amp;C insurer by net premiums written, with particular strength in specialty commercial lines. The decentralized model with 50+ operating units provides breadth across niche markets. However, P&amp;C insurance is highly fragmented and WRB does not dominate any individual market. Product Pipeline (1/2): Continuous expansion into new specialty lines and geographies, with the Mitsui partnership potentially opening Asian markets. However, no specific major new product launches or transformative growth initiatives were identified beyond the core underwriting expansion. R&amp;D Intensity (1/1): WRB invests significantly in technology and AI for underwriting, with the 20%+ efficiency gains demonstrating meaningful technology investment relative to insurance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WRB's guiding principles -- 'Everything Counts, Everyone Matters,' 'Always Do Right,' 'Act Responsibly,' and 'Embrace Innovation' -- are specific, values-driven, and actively referenced by CEO Robert Berkley Jr., who stated the founder's 'spirit, values and priorities remain foundational to who we are and how we operate as a team' [2]. The intergenerational leadership (father to son) creates genuine cultural continuity that is rare in public companies. However, the purpose is fundamentally about building a great insurance company rather than serving a cause beyond commercial excellence. Community Impact (0/2): No significant charitable initiatives, community programs, or social impact investments were identified in publicly available sources beyond standard corporate responsibility reporting. Insurance companies generally have limited community impact visibility. Employee Retention (1/2): WRB employs 8,804 people across 50+ decentralized operating units, with the family-led culture and long management tenures suggesting organizational stability. The decentralized structure empowers local unit leaders, which typically improves retention. However, no specific turnover or retention data was identified. Insider Buying (1/2): The Berkley family maintains meaningful ownership in the company, and the intergenerational CEO succession demonstrates deep long-term commitment. Mitsui Sumitomo's 15% strategic investment at market prices validates insider confidence in the franchise [4]. However, no specific recent executive stock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WRB demonstrates exceptional financial fundamentals for a specialty insurer. D/E of 29% is very conservative, well below the 70% target, reflecting a $3.02B cash position against $3.09B in debt [5]. ROE of 18.6% (with Q2 2026 operating ROE of 20.5%) exceeds the 15% target [2]. Forward P/E of 16.47 is below the 20x target, representing attractive valuation for a high-quality franchise. Profit margin of 13.01% falls short of the 20% target but is strong for P&amp;C insurance, where combined ratios below 90% are considered excellent [5]. Revenue growth YoY of approximately 4% (Q1 revenue $3.69B up from $3.55B) is moderate, reflecting the company's disciplined approach to underwriting -- WRB prioritizes pricing adequacy over growth [1]. The dividend metrics are exceptional: 25 consecutive years of growth with an 11.04% 5-year CAGR, 40+ years of consecutive payments, and a payout ratio of approximately 41% -- all carrying favorable weight in the Dividend sleeve scoring [5]. The stock easily clears the liquidity floor with approximately $156M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WRB is one of the stronger infinite game players in the insurance industry -- a family-controlled company now in its second generation of Berkley leadership, with 59 years of continuous operation and a culture that prioritizes underwriting discipline over market share. The intergenerational succession from founder William R. Berkley to son Robert Berkley Jr. represents genuine long-term thinking. The company's willingness to shrink in soft markets (prioritizing pricing adequacy over premium volume) is an infinite game discipline that many insurers cannot sustain. However, the company's purpose is ultimately about building a great insurance franchise rather than serving a transcendent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WRB's values -- 'Everything Counts, Everyone Matters' and 'Always Do Right' -- have been consistently articulated and practiced across generations of Berkley family leadership [2]. The company's underwriting discipline (willingness to walk away from underpriced risks, even at the cost of market share) reflects a genuine commitment to doing business right rather than just doing more business. However, the cause is fundamentally about building and sustaining a great insurance company, which is a worthwhile business objective but not a purpose that connects to something larger than the company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WRB's decentralized model with 50+ semi-autonomous operating units represents meaningful organizational trust -- each unit leader has significant authority over underwriting, pricing, and talent decisions [2]. This structure attracts and retains entrepreneurial insurance professionals who prefer autonomy over corporate bureaucracy. CEO Berkley's Q2 2026 comments referencing the founder's 'spirit, values and priorities' suggest genuine cultural continuity. However, no specific employee engagement, turnover, or retention data was identified to validate trust levels across the 8,804-person workforce.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(0.5/1): WRB competes with Chubb, AIG, Travelers, and Markel in specialty P&amp;C insurance. The company's competitive posture is focused on underwriting discipline and operational efficiency rather than defeating specific rivals. The decision to embrace AI for 20%+ efficiency gains suggests learning from technology-forward competitors. The Mitsui partnership could be viewed as learning from Asian insurance market models. However, no specific evidence of WRB's leadership publicly learning from or acknowledging competitors' strengths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(1.5/2): WRB has adapted its business model across multiple insurance market cycles over 59 years, demonstrating the ability to expand into new specialty lines and geographies when opportunities arise and contract when markets overheat. The decision to accept Mitsui Sumitomo's 15% strategic investment in 2026 -- after decades of family control -- represents a meaningful structural evolution that could unlock Asian market access [4]. The intergenerational CEO transition (father to son) was a succession event that maintained strategic continuity while evolving leadership style. However, the core business model (decentralized specialty P&amp;C underwriting) has remained fundamentally unchanged for decades.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(1.5/2): WRB consistently demonstrates one of the rarest forms of insurance industry courage -- the discipline to shrink the book of business during soft markets rather than chase volume at inadequate pricing. This requires short-term earnings sacrifice for long-term reserve adequacy and underwriting profitability [1]. The company's 25 consecutive years of dividend growth through multiple insurance cycles, 9/11, the financial crisis, and COVID demonstrates conviction in long-term capital management. The decision to invest aggressively in AI for underwriting efficiency while many traditional insurers lag shows willingness to embrace disruptive technology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WRB at 16.47x forward earnings is a best-in-class specialty P&amp;C insurer delivering 20.5% operating ROE and 23% EPS growth -- Q2 2026 gross premiums written hit a record $4.1B (+4.2% YoY) with operating EPS of $1.27 (+21% YoY) [1][2]. The 25-year dividend growth streak (11.04% 5-year CAGR) is approaching Dividend Aristocrat status, supported by a conservative 41% payout ratio and 29% D/E that provides substantial financial flexibility [5]. Mitsui Sumitomo's 15% strategic investment in March 2026 validates the franchise quality and potentially opens Asian insurance markets [4]. WRB's AI-driven underwriting efficiency gains of 20%+ position the company to target expense ratios below 30%, with CEO Berkley noting 'significant additional juice to squeeze' from continued AI implementation [3]. The Inspire Impact Score of 39 (ALIGNED) with 10 positive attributions and zero negatives makes WRB suitable for faith-based investors. The family-controlled, decentralized business model has consistently delivered top-quartile underwriting results through multiple cycles.</w:t>
      </w:r>
    </w:p>
    <w:p>
      <w:pPr>
        <w:spacing w:after="120"/>
      </w:pPr>
      <w:r>
        <w:rPr>
          <w:rFonts w:ascii="Calibri" w:hAnsi="Calibri"/>
          <w:b w:val="0"/>
          <w:color w:val="3A4A28"/>
          <w:sz w:val="20"/>
        </w:rPr>
        <w:t>The bear case centers on revenue growth deceleration, catastrophe risk, and P&amp;C market cycle dynamics. Revenue growth of approximately 4% YoY is modest, reflecting WRB's underwriting discipline and a softening commercial insurance market where rate adequacy is becoming more competitive [1]. The P&amp;C insurance cycle is inherently mean-reverting -- the current favorable combined ratios reflect a hard market that began in 2019, and a cyclical softening could compress margins and slow premium growth. Catastrophe losses, while below average in H1 2026, remain an ever-present tail risk that can significantly impact quarterly results. The PEG ratio of 2.68 suggests the stock's growth rate (relative to its premium) is less compelling than the absolute PE indicates. Profit margin of 13.01% is below the 20% target, structurally limited by the loss ratio inherent in insurance. The Mitsui 15% stake reduces Berkley family control, which could introduce governance complexity if strategic priorities diverge. Revenue growth of 7% CAGR over 5 years, while solid for insurance, limits the stock's appeal to growth-oriented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underwriting efficiency gains of 20%+ with CEO Berkley targeting expense ratios below 30%, directly translating to underwriting profit improvement as AI deployment expands across 50+ operating units [3]</w:t>
      </w:r>
    </w:p>
    <w:p>
      <w:pPr>
        <w:spacing w:before="40" w:after="40"/>
        <w:ind w:left="283"/>
      </w:pPr>
      <w:r>
        <w:rPr>
          <w:rFonts w:ascii="Calibri" w:hAnsi="Calibri"/>
          <w:b/>
          <w:color w:val="4A6B25"/>
          <w:sz w:val="20"/>
        </w:rPr>
        <w:t xml:space="preserve">2. </w:t>
      </w:r>
      <w:r>
        <w:rPr>
          <w:rFonts w:ascii="Calibri" w:hAnsi="Calibri"/>
          <w:b w:val="0"/>
          <w:color w:val="3A4A28"/>
          <w:sz w:val="20"/>
        </w:rPr>
        <w:t>Approaching Dividend Aristocrat status with 25 consecutive years of dividend growth at 11.04% 5-year CAGR, supported by strong operating ROE of 20.5% and conservative 41% payout ratio providing ample room for continued dividend acceleration [5]</w:t>
      </w:r>
    </w:p>
    <w:p>
      <w:pPr>
        <w:spacing w:before="40" w:after="40"/>
        <w:ind w:left="283"/>
      </w:pPr>
      <w:r>
        <w:rPr>
          <w:rFonts w:ascii="Calibri" w:hAnsi="Calibri"/>
          <w:b/>
          <w:color w:val="4A6B25"/>
          <w:sz w:val="20"/>
        </w:rPr>
        <w:t xml:space="preserve">3. </w:t>
      </w:r>
      <w:r>
        <w:rPr>
          <w:rFonts w:ascii="Calibri" w:hAnsi="Calibri"/>
          <w:b w:val="0"/>
          <w:color w:val="3A4A28"/>
          <w:sz w:val="20"/>
        </w:rPr>
        <w:t>Mitsui Sumitomo strategic partnership (15% stake) potentially unlocking Asian insurance markets and cross-selling opportunities while validating WRB's franchise value at an institutional level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P&amp;C insurance cycle risk as the current hard market matures -- commercial insurance rate adequacy is becoming more competitive, and a cyclical softening could compress combined ratios and slow premium growth below the current 4.2% trajectory [1]</w:t>
      </w:r>
    </w:p>
    <w:p>
      <w:pPr>
        <w:spacing w:before="40" w:after="40"/>
        <w:ind w:left="283"/>
      </w:pPr>
      <w:r>
        <w:rPr>
          <w:rFonts w:ascii="Calibri" w:hAnsi="Calibri"/>
          <w:b/>
          <w:color w:val="4A6B25"/>
          <w:sz w:val="20"/>
        </w:rPr>
        <w:t xml:space="preserve">2. </w:t>
      </w:r>
      <w:r>
        <w:rPr>
          <w:rFonts w:ascii="Calibri" w:hAnsi="Calibri"/>
          <w:b w:val="0"/>
          <w:color w:val="3A4A28"/>
          <w:sz w:val="20"/>
        </w:rPr>
        <w:t>Catastrophe loss exposure remains a persistent tail risk that can significantly impact quarterly results -- while H1 2026 benefited from below-average catastrophe losses, climate-related events and increasing insured values create growing severity risk [2]</w:t>
      </w:r>
    </w:p>
    <w:p>
      <w:pPr>
        <w:spacing w:before="40" w:after="40"/>
        <w:ind w:left="283"/>
      </w:pPr>
      <w:r>
        <w:rPr>
          <w:rFonts w:ascii="Calibri" w:hAnsi="Calibri"/>
          <w:b/>
          <w:color w:val="4A6B25"/>
          <w:sz w:val="20"/>
        </w:rPr>
        <w:t xml:space="preserve">3. </w:t>
      </w:r>
      <w:r>
        <w:rPr>
          <w:rFonts w:ascii="Calibri" w:hAnsi="Calibri"/>
          <w:b w:val="0"/>
          <w:color w:val="3A4A28"/>
          <w:sz w:val="20"/>
        </w:rPr>
        <w:t>Revenue growth of approximately 4% YoY is modest and reflects WRB's deliberate underwriting discipline -- if the market softens further, the company may need to shrink its book to maintain pricing adequacy, potentially pressuring top-line results and dividend coverage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Specialty P&amp;C insurance underwriting requires deep expertise in pricing complex risks, relationship management with brokers and clients, and regulatory compliance across jurisdictions -- capabilities that AI enhances but cannot easily replace [1]. WRB's decentralized model with 50+ operating units creates deep expertise in niche markets (professional liability, inland marine, surety) where underwriting judgment is critical and data alone is insufficient. The regulated nature of insurance (state-by-state licensing, rate filings, reserve requirements) creates structural barriers. However, AI-first insurtechs and AI-enhanced underwriting at larger competitors could commoditize certain commercial lines, and AI-driven claims processing could reduce the value of WRB's underwriting expertise in more standardized product lines. The long-tail nature of P&amp;C insurance (claims develop over years) means human judgment remains essential for reserve adequacy. AI Opportunity (1/1): WRB is already monetizing AI through 20%+ underwriting efficiency gains from AI tools deployed across intake, workbenches, and quoting processes [3]. CEO Berkley sees 'significant additional juice to squeeze' from further AI implementation, targeting an expense ratio of 30% or better. In insurance, expense ratio improvements flow directly to underwriting profit, making WRB's AI investment a direct earnings catalyst.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 R. Berkley Q2 2026 Earnings Release -- Gross Premiums Written $4.1B (+4.2%), Operating EPS $1.27 (+21%), Operating ROE 20.5%, Revenue $3.716B, July 2026</w:t>
      </w:r>
    </w:p>
    <w:p>
      <w:pPr>
        <w:spacing w:before="20" w:after="20"/>
        <w:ind w:left="170"/>
      </w:pPr>
      <w:r>
        <w:rPr>
          <w:rFonts w:ascii="Calibri" w:hAnsi="Calibri"/>
          <w:b/>
          <w:color w:val="4A6B25"/>
          <w:sz w:val="15"/>
        </w:rPr>
        <w:t xml:space="preserve">2. </w:t>
      </w:r>
      <w:r>
        <w:rPr>
          <w:rFonts w:ascii="Calibri" w:hAnsi="Calibri"/>
          <w:b w:val="0"/>
          <w:color w:val="3A4A28"/>
          <w:sz w:val="17"/>
        </w:rPr>
        <w:t>W. R. Berkley Q1 2026 Earnings Release -- Net Income $515.2M (+23.4%), Revenue $3.69B, Diluted EPS $1.31, Net Premiums Earned $3.12B, April 2026</w:t>
      </w:r>
    </w:p>
    <w:p>
      <w:pPr>
        <w:spacing w:before="20" w:after="20"/>
        <w:ind w:left="170"/>
      </w:pPr>
      <w:r>
        <w:rPr>
          <w:rFonts w:ascii="Calibri" w:hAnsi="Calibri"/>
          <w:b/>
          <w:color w:val="4A6B25"/>
          <w:sz w:val="15"/>
        </w:rPr>
        <w:t xml:space="preserve">3. </w:t>
      </w:r>
      <w:r>
        <w:rPr>
          <w:rFonts w:ascii="Calibri" w:hAnsi="Calibri"/>
          <w:b w:val="0"/>
          <w:color w:val="3A4A28"/>
          <w:sz w:val="17"/>
        </w:rPr>
        <w:t>Seeking Alpha and Reinsurance News -- W. R. Berkley AI Underwriting Efficiency Gains 20%+, Expense Ratio Target Below 30%, CEO Commentary, 2026</w:t>
      </w:r>
    </w:p>
    <w:p>
      <w:pPr>
        <w:spacing w:before="20" w:after="20"/>
        <w:ind w:left="170"/>
      </w:pPr>
      <w:r>
        <w:rPr>
          <w:rFonts w:ascii="Calibri" w:hAnsi="Calibri"/>
          <w:b/>
          <w:color w:val="4A6B25"/>
          <w:sz w:val="15"/>
        </w:rPr>
        <w:t xml:space="preserve">4. </w:t>
      </w:r>
      <w:r>
        <w:rPr>
          <w:rFonts w:ascii="Calibri" w:hAnsi="Calibri"/>
          <w:b w:val="0"/>
          <w:color w:val="3A4A28"/>
          <w:sz w:val="17"/>
        </w:rPr>
        <w:t>Mitsui Sumitomo Insurance 15% Strategic Investment in W. R. Berkley Corporation, SEC Schedule 13D/A Filings, March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WRB Key Statistics: Forward P/E 16.47x, D/E 29%, ROE 18.6%, Profit Margin 13.01%, Dividend Yield 2.48%, 25 Consecutive Years Growth,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