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WSC</w:t>
      </w:r>
      <w:r>
        <w:rPr>
          <w:rFonts w:ascii="Calibri" w:hAnsi="Calibri"/>
          <w:b/>
          <w:color w:val="1A2010"/>
          <w:sz w:val="40"/>
        </w:rPr>
        <w:t xml:space="preserve">  WillScot Holdings Corporation</w:t>
      </w:r>
    </w:p>
    <w:p>
      <w:pPr>
        <w:spacing w:after="120"/>
      </w:pPr>
      <w:r>
        <w:rPr>
          <w:rFonts w:ascii="Calibri" w:hAnsi="Calibri"/>
          <w:b/>
          <w:color w:val="6E8450"/>
          <w:sz w:val="18"/>
        </w:rPr>
        <w:t>GROWTH SLEEVE · 2026-09-12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Rental &amp; Leasing Services · NASDAQ · United States</w:t>
      </w:r>
    </w:p>
    <w:p>
      <w:pPr>
        <w:spacing w:after="80"/>
      </w:pPr>
      <w:r>
        <w:rPr>
          <w:rFonts w:ascii="Calibri" w:hAnsi="Calibri"/>
          <w:b w:val="0"/>
          <w:color w:val="3A4A28"/>
          <w:sz w:val="20"/>
        </w:rPr>
        <w:t>WillScot Holdings is North America's leading provider of modular workspace and portable storage solutions, serving construction, industrial, commercial, and government customers through a fleet of approximately 150,000 units. Formed from the 2020 merger of WillScot and Mobile Mini, the company operates a lease-based model with value-added products and services (VAPS) that drive recurring revenue. Q2 2026 revenue rose 4% YoY to $612M, beating estimates by 4.6%, and full-year guidance was raised to $2.3B revenue and $920M adjusted EBITDA.</w:t>
      </w:r>
    </w:p>
    <w:p>
      <w:r>
        <w:rPr>
          <w:rFonts w:ascii="Calibri" w:hAnsi="Calibri"/>
          <w:b/>
          <w:color w:val="6E8450"/>
          <w:sz w:val="18"/>
        </w:rPr>
        <w:t>6,000 Employees · https://www.willscot.com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2020 merger of WillScot and Mobile Mini was a transformative consolidation that created the dominant modular space and storage platform in North America, enabling cross-selling and enterprise account penetration that neither company could achieve independently [1]. Enterprise Accounts and verticals strategies drove year-over-year modular unit activation growth for the third consecutive quarter in Q2 2026 and returned the company to revenue growth. AI Deployment (0/2): No evidence of AI-powered products, AI-driven cost savings, or AI strategy in public disclosures; the company's competitive advantage lies in fleet scale and logistics, not technology [2]. Market Share Leadership (1/2): WillScot is the clear market leader in modular workspace and portable storage in North America with approximately 150,000 units, significantly larger than nearest competitors, though exact share percentage data is not publicly quantified [1]. Product Pipeline (1/2): Investments in fleet and product innovation, including VAPS (furniture, climate control, data connectivity) and a data-center vertical pipeline up 70%, are driving organic growth, but no specific next-generation products with named launch dates beyond current initiatives [1]. R&amp;D Intensity (0/1): As a capital-intensive leasing business, WillScot does not report meaningful R&amp;D expenditure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WillScot's stated purpose centers on providing flexible workspace and storage solutions — a clear but generic operational description that does not articulate a deeper societal purpose or differentiate meaningfully from peers [3]. The ESG strategy 'Deliver Opportunity' suggests some intentionality but remains primarily business-focused. Community Impact (1/2): The company emphasizes circular economy practices — its modular units are long-lived, reusable, and relocatable assets that produce minimal waste — and has committed to sustainability reporting since 2021, earning a low controversy rating from Sustainalytics [3]. However, no specific charitable programs or dollar-amount community investments were identified. Employee Retention (0/2): Glassdoor ratings of 2.5/5 with only 34% of employees recommending the company indicate significant cultural challenges; reviews cite toxic post-merger leadership dynamics, micromanagement, and morale erosion, particularly among former Mobile Mini employees [2]. Insider Buying (2/2): CEO Bradley Soultz acquired 10,000 shares at $26.79 per share, and insiders collectively bought $412K more than they sold in the last 12 months, signaling meaningful leadership conviction in the company's trajectory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WSC's heavily leveraged balance sheet is the primary drag, with debt-to-equity of 369% far exceeding the 300% floor (scoring 0), reflecting the asset-intensive leasing model financed predominantly with debt [4]. ROE of 21.15% exceeds the 15% target on a TTM basis, demonstrating efficient use of equity despite high leverage. Revenue growth YoY of 4% and 5yr CAGR of approximately 5.5% are both below the 10% target but well above their respective floors, scoring partial credit. Forward P/E of 17.20 is favorable at below the 20x target. The significant drags are negative GAAP profit margin of -2.3% (scoring 0, reflecting heavy depreciation and amortization on the modular fleet) and an extremely high PEG ratio of 7.47 (scoring 0 with 2x weight), indicating the stock's modest growth rate does not support its valuation multiple. Daily liquidity of approximately $69M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WillScot operates with a predominantly finite mindset focused on financial engineering — aggressive share buybacks, heavy leverage, and M&amp;A-driven growth — rather than a purpose-driven long-term vision. The 2020 merger created scale but post-merger integration has been marked by cultural toxicity and employee dissatisfaction, undermining organizational trust. CEO insider buying and the fleet's circular economy characteristics are bright spots, but the company lacks a Just Cause beyond market dominance and shows no evidence of the competitive humility or existential flexibility that characterize enduring organizations.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WillScot's strategic communication centers on market leadership, revenue optimization, and shareholder returns — language that is fundamentally about winning, not about advancing a vision of a better future [1]. The 'Deliver Opportunity' ESG initiative suggests some purpose beyond profit, and the circular economy model (reusable, relocatable assets) connects the business to sustainability, but this has not been elevated to a Just Cause that shapes strategic decisions or inspires sacrifice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strongly suggests a low-trust environment post-merger. Glassdoor reviews describe toxic leadership from legacy WillScot that 'constantly degraded the sales team,' a leadership team 'bloated with micromanagers and yes-men' that 'suffocated innovation and crushed morale,' and only 34% of employees would recommend the company [2]. The cultural integration of WillScot and Mobile Mini has been poorly executed, creating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WillScot's competitive strategy centers on market dominance through scale and M&amp;A consolidation — acquiring the next-largest competitor (Mobile Mini) to eliminate competition rather than learning from it [1]. Competitive language focuses on 'market leadership' and 'enterprise account penetration' rather than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WillScot-Mobile Mini merger represented meaningful strategic evolution — combining modular workspace with portable storage to create a more comprehensive customer offering and cross-selling platform [1]. The pivot toward data-center vertical demand and Enterprise Accounts shows business model evolution. However, these are incremental extensions of the core leasing model, not transformative pivots that redefined the company's identity or required abandoning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2020 acquisition of Mobile Mini was a bold bet that created the dominant platform at a time of pandemic uncertainty, requiring significant debt financing and integration risk [1]. CEO Soultz's insider buying of 10,000 shares at $26.79 demonstrates personal conviction. However, the company's heavy reliance on financial engineering (leverage and buybacks) over operational investment, combined with cultural damage from poor integration execution, suggests courage directed toward financial optimization rather than long-term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WillScot at 17.2x forward earnings offers exposure to North America's dominant modular workspace and storage platform with a raised 2026 outlook — full-year revenue guidance lifted to $2.3B and adjusted EBITDA to $920M following Q2 revenue of $612M (+4% YoY) and adjusted EPS of $0.28 that beat consensus by 12% [1]. The Enterprise Accounts strategy and VAPS penetration are driving unit activation growth for the third consecutive quarter, creating revenue per unit expansion that compounds on the 150,000-unit fleet base. The data-center vertical pipeline is up 70%, providing a secular tailwind from AI infrastructure buildout. CEO insider buying of $412K net over the last 12 months signals leadership conviction, and the Inspire score of 39 (ALIGNED) is a positive for faith-based allocators [2].</w:t>
      </w:r>
    </w:p>
    <w:p>
      <w:pPr>
        <w:spacing w:after="120"/>
      </w:pPr>
      <w:r>
        <w:rPr>
          <w:rFonts w:ascii="Calibri" w:hAnsi="Calibri"/>
          <w:b w:val="0"/>
          <w:color w:val="3A4A28"/>
          <w:sz w:val="20"/>
        </w:rPr>
        <w:t>The bear case centers on extreme leverage, cultural deterioration, and valuation disconnect. Debt-to-equity of 369% makes WSC highly sensitive to rising interest rates and any demand softening — the lease-based model requires continuous fleet utilization to service debt, and construction activity is cyclically exposed [4]. GAAP profit margin of -2.3% (driven by heavy depreciation on the modular fleet) and a PEG ratio of 7.47 indicate the stock's modest growth rate does not support its current multiple. Glassdoor rating of 2.5/5 with only 34% of employees recommending the company suggests post-merger cultural integration has been poorly executed — toxic leadership dynamics, micromanagement, and employee demoralization are organizational risks that erode execution capability over time [2]. The 5yr revenue CAGR of approximately 5.5% is pedestrian for a Growth-sleeve stock, and the company's financial engineering focus (leverage and buybacks) over organic innovation leaves limited room for error if the construction cycle 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Accounts and VAPS penetration driving revenue per unit expansion on the 150,000-unit fleet, with modular unit activations growing for three consecutive quarters and full-year 2026 revenue guidance raised to $2.3B at the midpoint [1]</w:t>
      </w:r>
    </w:p>
    <w:p>
      <w:pPr>
        <w:spacing w:before="40" w:after="40"/>
        <w:ind w:left="283"/>
      </w:pPr>
      <w:r>
        <w:rPr>
          <w:rFonts w:ascii="Calibri" w:hAnsi="Calibri"/>
          <w:b/>
          <w:color w:val="4A6B25"/>
          <w:sz w:val="20"/>
        </w:rPr>
        <w:t xml:space="preserve">2. </w:t>
      </w:r>
      <w:r>
        <w:rPr>
          <w:rFonts w:ascii="Calibri" w:hAnsi="Calibri"/>
          <w:b w:val="0"/>
          <w:color w:val="3A4A28"/>
          <w:sz w:val="20"/>
        </w:rPr>
        <w:t>AI data center construction boom creating sustained demand for temporary modular workspaces and storage at large project sites, with the data-center vertical project pipeline up 70% and management targeting significant growth in this segment [1]</w:t>
      </w:r>
    </w:p>
    <w:p>
      <w:pPr>
        <w:spacing w:before="40" w:after="40"/>
        <w:ind w:left="283"/>
      </w:pPr>
      <w:r>
        <w:rPr>
          <w:rFonts w:ascii="Calibri" w:hAnsi="Calibri"/>
          <w:b/>
          <w:color w:val="4A6B25"/>
          <w:sz w:val="20"/>
        </w:rPr>
        <w:t xml:space="preserve">3. </w:t>
      </w:r>
      <w:r>
        <w:rPr>
          <w:rFonts w:ascii="Calibri" w:hAnsi="Calibri"/>
          <w:b w:val="0"/>
          <w:color w:val="3A4A28"/>
          <w:sz w:val="20"/>
        </w:rPr>
        <w:t>Potential margin improvement as adjusted EBITDA guidance of $920M implies approximately 40% EBITDA margins on $2.3B revenue, with operating leverage expected to build as post-merger integration matures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cycle sensitivity with 369% debt-to-equity leaves no margin of safety — any meaningful decline in modular unit utilization rates from a construction downturn would pressure free cash flow needed to service the highly leveraged balance sheet [4]</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evidenced by 2.5/5 Glassdoor rating and 34% employee recommendation rate creates execution risk; post-merger leadership toxicity could undermine the Enterprise Accounts growth strategy that requires skilled sales and service teams [2]</w:t>
      </w:r>
    </w:p>
    <w:p>
      <w:pPr>
        <w:spacing w:before="40" w:after="40"/>
        <w:ind w:left="283"/>
      </w:pPr>
      <w:r>
        <w:rPr>
          <w:rFonts w:ascii="Calibri" w:hAnsi="Calibri"/>
          <w:b/>
          <w:color w:val="4A6B25"/>
          <w:sz w:val="20"/>
        </w:rPr>
        <w:t xml:space="preserve">3. </w:t>
      </w:r>
      <w:r>
        <w:rPr>
          <w:rFonts w:ascii="Calibri" w:hAnsi="Calibri"/>
          <w:b w:val="0"/>
          <w:color w:val="3A4A28"/>
          <w:sz w:val="20"/>
        </w:rPr>
        <w:t>PEG ratio of 7.47 with only 4% YoY revenue growth signals significant valuation risk — the stock is priced for growth the fundamental trajectory does not support, and multiple compression could drive meaningful downside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WillScot's core business — manufacturing, delivering, installing, and leasing physical modular workspaces and storage containers — is structurally immune to AI disruption [1]. AI cannot build modular structures, transport them to job sites, or replace the physical infrastructure that construction, industrial, and event customers require. The company's competitive moat is rooted in fleet scale, logistics networks, and customer relationships that have no AI substitution path. Demand for modular space is actually increasing as AI data center construction drives need for temporary worker housing and offices at build sites, with data-center vertical pipeline up 70%. The only minor AI exposure is in back-office functions where AI could improve competitor efficiency, but this is a universal optimization risk, not a displacement threat. AI Opportunity (0/1): WillScot does not generate revenue from AI products or services; it is a beneficiary of AI-driven construction demand rather than a direct AI deployer.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WillScot Q1 and Q2 CY2026 Earnings — Q1 Revenue $549M (Beat $518M), Q2 Revenue $612M (+4% YoY, Beat Estimates), Adjusted EPS $0.28, Full-Year Guidance Raised to $2.3B Revenue and $920M EBITDA — Investing.com, StockStory, May-August 2026</w:t>
      </w:r>
    </w:p>
    <w:p>
      <w:pPr>
        <w:spacing w:before="20" w:after="20"/>
        <w:ind w:left="170"/>
      </w:pPr>
      <w:r>
        <w:rPr>
          <w:rFonts w:ascii="Calibri" w:hAnsi="Calibri"/>
          <w:b/>
          <w:color w:val="4A6B25"/>
          <w:sz w:val="15"/>
        </w:rPr>
        <w:t xml:space="preserve">2. </w:t>
      </w:r>
      <w:r>
        <w:rPr>
          <w:rFonts w:ascii="Calibri" w:hAnsi="Calibri"/>
          <w:b w:val="0"/>
          <w:color w:val="3A4A28"/>
          <w:sz w:val="17"/>
        </w:rPr>
        <w:t>WillScot Leadership, Culture &amp; Insider Activity — CEO Soultz $267K Insider Purchase, Net Insider Buying $412K, Glassdoor 2.5/5 Rating, Post-Merger Cultural Challenges — Simply Wall St, Glassdoor, AltIndex, 2025-2026</w:t>
      </w:r>
    </w:p>
    <w:p>
      <w:pPr>
        <w:spacing w:before="20" w:after="20"/>
        <w:ind w:left="170"/>
      </w:pPr>
      <w:r>
        <w:rPr>
          <w:rFonts w:ascii="Calibri" w:hAnsi="Calibri"/>
          <w:b/>
          <w:color w:val="4A6B25"/>
          <w:sz w:val="15"/>
        </w:rPr>
        <w:t xml:space="preserve">3. </w:t>
      </w:r>
      <w:r>
        <w:rPr>
          <w:rFonts w:ascii="Calibri" w:hAnsi="Calibri"/>
          <w:b w:val="0"/>
          <w:color w:val="3A4A28"/>
          <w:sz w:val="17"/>
        </w:rPr>
        <w:t>WillScot ESG Profile — 'Deliver Opportunity' Strategy, Low Controversy Level, Circular Economy Practices with Reusable Relocatable Assets — Sustainalytics, SEC Filings, 2021-2026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WSC Key Statistics: Forward P/E 17.20x, D/E 369%, ROE 21.15%, Profit Margin -2.3%, PEG 7.47, Market Cap $3.93B,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