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WU</w:t>
      </w:r>
      <w:r>
        <w:rPr>
          <w:rFonts w:ascii="Calibri" w:hAnsi="Calibri"/>
          <w:b/>
          <w:color w:val="1A2010"/>
          <w:sz w:val="40"/>
        </w:rPr>
        <w:t xml:space="preserve">  The Western Union Company</w:t>
      </w:r>
    </w:p>
    <w:p>
      <w:pPr>
        <w:spacing w:after="120"/>
      </w:pPr>
      <w:r>
        <w:rPr>
          <w:rFonts w:ascii="Calibri" w:hAnsi="Calibri"/>
          <w:b/>
          <w:color w:val="6E8450"/>
          <w:sz w:val="18"/>
        </w:rPr>
        <w:t>DIVIDEND SLEEVE · 2026-10-14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NYQ · United States</w:t>
      </w:r>
    </w:p>
    <w:p>
      <w:pPr>
        <w:spacing w:after="80"/>
      </w:pPr>
      <w:r>
        <w:rPr>
          <w:rFonts w:ascii="Calibri" w:hAnsi="Calibri"/>
          <w:b w:val="0"/>
          <w:color w:val="3A4A28"/>
          <w:sz w:val="20"/>
        </w:rPr>
        <w:t>The Western Union Company provides cross-border and domestic money transfer services, digital payments, and consumer financial services worldwide. Operating through Consumer Money Transfer and Consumer Services segments, the company facilitates remittances via a network of ~500,000 retail agent locations across 200+ countries. Q2 2026 adjusted revenue was $1B (-1% YoY), with branded digital transactions surging 25%. Management slashed FY2026 adjusted EPS guidance to $1.25-$1.35 (from $1.75-$1.85), citing margin pressures and retail headwinds. The Intermex acquisition closed September 1, 2026. Headquartered in Denver, Colorado.</w:t>
      </w:r>
    </w:p>
    <w:p>
      <w:r>
        <w:rPr>
          <w:rFonts w:ascii="Calibri" w:hAnsi="Calibri"/>
          <w:b/>
          <w:color w:val="6E8450"/>
          <w:sz w:val="18"/>
        </w:rPr>
        <w:t>9,600 Employees · https://www.westernunion.com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Western Union's digital transformation has accelerated but has not reversed secular decline. Branded digital transactions grew 25% in Q2 2026 with adjusted revenue up 6%, improving from 21% transaction growth in Q1 [1]. The Intermex acquisition (closed Sept. 1, 2026) strengthens Latin American corridors, and the Solana-based USDPT stablecoin pilot with Bybit represents genuine fintech innovation [1]. However, overall adjusted revenue still declined 1% YoY as the core retail agent business continues eroding. AI Deployment (1/2): WU partnered with HCLTech for an AI-powered platform operating model, deploying AI for fraud detection, compliance automation, and KYC turnaround time reduction [3]. Management describes AI as an operational imperative generating measurable cost savings, but no customer-facing AI products are shipping. Market Share (1/2): Western Union remains the global leader in cross-border retail remittances with ~500,000 agent locations across 200+ countries, but faces accelerating share loss to digital-native competitors (Wise, Remitly, Revolut) and mobile money platforms that offer 50-80% lower fees [3]. Consumer Services adjusted revenue grew 12% in Q2, driven by bill pay and Travel Money. Pipeline (0/2): No specific next-generation products with named timelines are visible beyond the stablecoin pilot. R&amp;D Intensity (1/1): WU's investment in digital transformation, AI partnerships, and blockchain infrastructure exceeds traditional money transfer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Western Union's purpose centers on 'moving money for better' and financial inclusion for migrants and underbanked populations — a clear and socially relevant mission connecting the company's work to improving lives of marginalized communities [5]. However, the premium pricing model (5-8% take rates vs. 0.5-1% for digital competitors) creates tension with the inclusion narrative. Community Impact (1/2): The Western Union Foundation invests in economic opportunity programs, refugee support, and disaster relief globally, with a $15M commitment over three years focused on empowering displaced and marginalized youth [5]. The 'Opportunity Beyond Borders' initiative was recognized by the Conference Board. Employee Retention (0/2): Glassdoor reviews describe executive leadership as 'avoidant and uncommunicative,' report 'layoff-driven policies affecting morale,' and cite an organization 'heavily influenced by internal politics, favoritism, and sycophancy' where 'competent employees often get ignored or pushed out' [4]. No positive retention metrics identified. Insider Buying (1/2): Officer-level insider selling was identified in recent quarters (Benjamin Adams ~$184K in May 2026, Giovanni Angelini $57K in April 2026) with no open-market buying, suggesting net insider selling — but the amounts are modest enough to score neutrally.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Forward P/E of 4.06 scores perfectly against the 20x target, reflecting deep market skepticism about the business [2]. ROE of 44.0% exceeds the 15% target but is amplified by a thin equity base from aggressive buybacks and extreme leverage. D/E of 294.9% is dangerously close to the 300% floor, contributing near-zero to the score (0.02). Revenue declined 1.3% YoY and the 5-year CAGR of -3.5% reflects persistent secular erosion [1]. Profit margin of 9.8% — down from 12.6% earlier in 2026 — is well below the 20% target (score 0.49). On the dividend side, ~17 consecutive years of payment since the 2006 First Data spinoff scores perfectly with 2× weight, but the dividend has been flat at $0.94/share with 0 consecutive years of growth and ~0% 5-year dividend growth CAGR — both contributing zero with their respective weights. The payout ratio of 76.4% is elevated and rising on declining earnings (score 0.39). The stock clears the liquidity floor with approximately $61M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Western Union's 175-year history demonstrates remarkable survival instinct, but the company is operating in reactive survival mode as digital-native competitors erode its core business. The mid-year EPS guidance slash of 27% (from $1.75-$1.85 to $1.25-$1.35) epitomizes finite-game thinking — managing quarterly expectations rather than investing for long-term transformation. The stablecoin pilot and Intermex acquisition show strategic adaptation, but five consecutive years of revenue decline and a demoralized workforce suggest the company is playing to survive, not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Western Union's purpose of enabling financial inclusion for migrants and underbanked populations is socially compelling and connects to a genuine need — billions of people rely on cross-border remittances [5]. However, the company's premium pricing (5-8% take rates vs. 0.5-1% for digital competitors) undermines the 'moving money for better' narrative. The cause exists but does not shape strategic decisions — the mid-year EPS guidance cut and cost-cutting focus suggest earnings management drives behavior more than financial inclusion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low-trust organizational environment where executive leadership is 'avoidant and uncommunicative' and the organization is 'heavily influenced by internal politics, favoritism, and sycophancy' [4]. Employees report layoff-driven policies affecting morale, with competent employees often ignored or pushed out. Cost optimization selectively targets lower-level employees while leadership expands. This describes the opposite of Sinek's Circle of Safety — employees are protecting themselves from internal politics rather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Western Union's strategic actions acknowledge competitors' strengths — the stablecoin pilot was inspired by crypto-native competitors, the digital platform investment responds to Wise and Remitly's superior customer experience, and the Intermex acquisition strengthens corridors where competitors had been gaining share [1][3]. Management frames competition as a catalyst for transformation rather than an enemy to defeat, and the partnership with HCLTech for AI capabilities demonstrates willingness to learn from technology leaders.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Western Union's multi-century evolution from telegraph company (1851) to money transfer to digital payments and stablecoin rails demonstrates meaningful strategic adaptation. Branded digital transactions grew 25% in Q2 2026 with Consumer Services up 12% [1]. The Solana stablecoin pilot and AI compliance platform show willingness to embrace technologies that could transform the business model. However, the core cash remittance business continues declining and the transformation is incremental and forced by competition, not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McGranahan's Solana stablecoin pilot and Intermex acquisition demonstrate willingness to embrace disruptive technologies that could cannibalize the core agent network [1]. Investing in blockchain infrastructure during a period of declining revenue and margin compression takes some courage. However, the 27% mid-year EPS guidance cut (from $1.75-$1.85 to $1.25-$1.35) reflects a leadership team managing earnings expectations downward rather than making bold long-term investments, and cost-cutting across the organization prioritizes near-term margin preservation over capability building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Western Union at $6.10 trades at just 4.06x forward earnings with a 15.4% dividend yield, offering extreme value characteristics if the digital transformation can stabilize the business. Q2 2026 showed branded digital transactions surging 25% with Consumer Services revenue up 12%, and adjusted revenue decline moderating to just -1% YoY [1]. The Intermex acquisition (closed Sept. 1) should deliver the first year of revenue growth since 2021 through Latin American corridor expansion. ROE of 44.0% and Forward P/E of 4.06x reflect efficient capital deployment at a deeply discounted valuation [2]. The 200+ country regulatory moat remains a real barrier to fintech entrants, and WU's Solana stablecoin pilot positions the company at the intersection of traditional remittances and next-gen payment rails.</w:t>
      </w:r>
    </w:p>
    <w:p>
      <w:pPr>
        <w:spacing w:after="120"/>
      </w:pPr>
      <w:r>
        <w:rPr>
          <w:rFonts w:ascii="Calibri" w:hAnsi="Calibri"/>
          <w:b w:val="0"/>
          <w:color w:val="3A4A28"/>
          <w:sz w:val="20"/>
        </w:rPr>
        <w:t>The bear case is structural and intensifying. The stock's decline from $7.29 to $6.10 since August 2026 reflects further erosion — profit margin has compressed from 12.6% to 9.8%, EPS is declining 35% YoY, and the mid-year guidance slash from $1.75-$1.85 to $1.25-$1.35 signals accelerating deterioration [1][2]. Five consecutive years of organic revenue decline reflect digital-native competitors (Wise, Remitly, Revolut) systematically undercutting WU's take rates by 50-80%, and the G20 target to cut average remittance costs to 3% by 2030 will compress pricing further [3]. D/E of 295% — just 5 percentage points from the scoring floor — leaves almost no balance sheet flexibility, and the 76.4% payout ratio on declining earnings makes the $0.94/share annual dividend increasingly unsustainable. Glassdoor reviews describe a demoralized workforce with political internal culture and avoidant leadership, undermining the human capital needed for digital reinvention [4].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Intermex acquisition closed September 1, 2026 contributing to revenue growth — the first year of growth since 2021, potentially catalyzing a re-rating from distressed to turnaround [1]</w:t>
      </w:r>
    </w:p>
    <w:p>
      <w:pPr>
        <w:spacing w:before="40" w:after="40"/>
        <w:ind w:left="283"/>
      </w:pPr>
      <w:r>
        <w:rPr>
          <w:rFonts w:ascii="Calibri" w:hAnsi="Calibri"/>
          <w:b/>
          <w:color w:val="4A6B25"/>
          <w:sz w:val="20"/>
        </w:rPr>
        <w:t xml:space="preserve">2. </w:t>
      </w:r>
      <w:r>
        <w:rPr>
          <w:rFonts w:ascii="Calibri" w:hAnsi="Calibri"/>
          <w:b w:val="0"/>
          <w:color w:val="3A4A28"/>
          <w:sz w:val="20"/>
        </w:rPr>
        <w:t>Branded digital transaction growth accelerating to 25% in Q2 2026 (from 21% in Q1) suggests the digital platform is approaching scale that could offset retail declines and shift the revenue mix toward higher-margin digital channels [1]</w:t>
      </w:r>
    </w:p>
    <w:p>
      <w:pPr>
        <w:spacing w:before="40" w:after="40"/>
        <w:ind w:left="283"/>
      </w:pPr>
      <w:r>
        <w:rPr>
          <w:rFonts w:ascii="Calibri" w:hAnsi="Calibri"/>
          <w:b/>
          <w:color w:val="4A6B25"/>
          <w:sz w:val="20"/>
        </w:rPr>
        <w:t xml:space="preserve">3. </w:t>
      </w:r>
      <w:r>
        <w:rPr>
          <w:rFonts w:ascii="Calibri" w:hAnsi="Calibri"/>
          <w:b w:val="0"/>
          <w:color w:val="3A4A28"/>
          <w:sz w:val="20"/>
        </w:rPr>
        <w:t>Solana-based USDPT stablecoin pilot with Bybit positions Western Union to offer low-cost, instant cross-border transfers that leverage existing compliance infrastructure — a potential competitive equalizer against digital-native fintechs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terminal decline of the cash-based agent network as digital-native competitors and mobile money platforms capture the majority of new cross-border remittance volume at 50-80% lower fees, with G20 3% cost target by 2030 compressing take rates further [3]</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at critical risk — payout ratio of 76.4% on declining earnings trajectory with EPS down 35% YoY and guided to $1.25-$1.35 makes the $0.94/share annual dividend mathematically unsustainable, and a cut would trigger further sell-off from the current $6.10 level [2]</w:t>
      </w:r>
    </w:p>
    <w:p>
      <w:pPr>
        <w:spacing w:before="40" w:after="40"/>
        <w:ind w:left="283"/>
      </w:pPr>
      <w:r>
        <w:rPr>
          <w:rFonts w:ascii="Calibri" w:hAnsi="Calibri"/>
          <w:b/>
          <w:color w:val="4A6B25"/>
          <w:sz w:val="20"/>
        </w:rPr>
        <w:t xml:space="preserve">3. </w:t>
      </w:r>
      <w:r>
        <w:rPr>
          <w:rFonts w:ascii="Calibri" w:hAnsi="Calibri"/>
          <w:b w:val="0"/>
          <w:color w:val="3A4A28"/>
          <w:sz w:val="20"/>
        </w:rPr>
        <w:t>D/E of 295% constrains financial flexibility — extreme leverage leaves no cushion for transformation investment or earnings downturn, while profit margin compression from 12.6% to 9.8% signals accelerating operational deterioration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Western Union's core cross-border money transfer business is EXPOSED to AI-enabled disruption. AI-powered fintech platforms (Wise, Remitly, Revolut) use machine learning to optimize FX rates, reduce compliance costs, and deliver superior digital experiences at significantly lower fees, directly undercutting WU's agent-based model [3]. AI-driven fraud detection and KYC/AML compliance — historically WU competitive advantages — are being commoditized and made available to any fintech entrant. However, WU retains meaningful defensive moats: money transmission licenses across 200+ countries represent years of regulatory investment that AI cannot shortcut, and the physical agent network remains essential for cash-based populations in developing markets where digital infrastructure is limited. AI does not eliminate the need for cross-border payments — it enables more efficient delivery, creating substitution risk in channels rather than demand destruction. AI Opportunity (1/1): WU's HCLTech AI partnership generates measurable operational savings through compliance automation and fraud detection, and the Solana stablecoin pilot positions WU at the intersection of traditional remittances and crypto rails [3]. The 25% digital transaction growth in Q2 2026 is partly enabled by AI-driven customer acquisition and retention.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Western Union Q2 2026 Earnings Call Highlights — Adjusted Revenue $1B (-1% YoY), Digital Transactions +25%, EPS Guidance Cut to $1.25-$1.35, Intermex Closing Sept. 1 — Seeking Alpha, GuruFocus, July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WU Key Statistics: Forward P/E 4.06x, ROE 44.0%, D/E 294.9%, Profit Margin 9.8%, Stock Price $6.10,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PYMNTS.com — Western Union Pursues AI Savings as Falling Migration Hits Revenue; Digital Competitor Analysis — Wise, Remitly, Revolut fee comparisons, 2026</w:t>
      </w:r>
    </w:p>
    <w:p>
      <w:pPr>
        <w:spacing w:before="20" w:after="20"/>
        <w:ind w:left="170"/>
      </w:pPr>
      <w:r>
        <w:rPr>
          <w:rFonts w:ascii="Calibri" w:hAnsi="Calibri"/>
          <w:b/>
          <w:color w:val="4A6B25"/>
          <w:sz w:val="15"/>
        </w:rPr>
        <w:t xml:space="preserve">4. </w:t>
      </w:r>
      <w:r>
        <w:rPr>
          <w:rFonts w:ascii="Calibri" w:hAnsi="Calibri"/>
          <w:b w:val="0"/>
          <w:color w:val="3A4A28"/>
          <w:sz w:val="17"/>
        </w:rPr>
        <w:t>Glassdoor — Western Union Employee Reviews: 3.3/5 rating, 46% CEO approval, leadership culture concerns,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Western Union Foundation — ESG Report and Community Investment ($15M commitment for displaced youth), Corporate Website, Myanmar Myawaddy Bank Controversy — Burma Campaign UK,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